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EFC91" w14:textId="7808A76E" w:rsidR="00D0025C" w:rsidRPr="00A97361" w:rsidRDefault="00D0025C" w:rsidP="00D0025C">
      <w:pPr>
        <w:pStyle w:val="Title"/>
        <w:tabs>
          <w:tab w:val="left" w:pos="709"/>
          <w:tab w:val="right" w:pos="9639"/>
        </w:tabs>
        <w:wordWrap w:val="0"/>
        <w:spacing w:before="0" w:after="0"/>
        <w:ind w:right="120"/>
        <w:jc w:val="right"/>
        <w:outlineLvl w:val="9"/>
        <w:rPr>
          <w:rFonts w:eastAsia="MS Mincho" w:cs="Arial"/>
          <w:kern w:val="0"/>
          <w:sz w:val="24"/>
          <w:szCs w:val="24"/>
          <w:lang w:val="sv-SE" w:eastAsia="en-US"/>
        </w:rPr>
      </w:pPr>
      <w:bookmarkStart w:id="0" w:name="_GoBack"/>
      <w:bookmarkEnd w:id="0"/>
      <w:r w:rsidRPr="00A97361">
        <w:rPr>
          <w:rFonts w:eastAsia="MS Mincho" w:cs="Arial"/>
          <w:kern w:val="0"/>
          <w:sz w:val="24"/>
          <w:szCs w:val="24"/>
          <w:lang w:val="sv-SE" w:eastAsia="en-US"/>
        </w:rPr>
        <w:t>3GPP TSG RAN</w:t>
      </w:r>
      <w:r w:rsidRPr="00A97361">
        <w:rPr>
          <w:rFonts w:cs="Arial"/>
          <w:color w:val="000000"/>
          <w:sz w:val="24"/>
          <w:szCs w:val="24"/>
          <w:shd w:val="clear" w:color="auto" w:fill="FFFFFF"/>
          <w:lang w:val="sv-SE"/>
        </w:rPr>
        <w:t>#</w:t>
      </w:r>
      <w:r w:rsidR="00863528" w:rsidRPr="00A97361">
        <w:rPr>
          <w:rFonts w:cs="Arial"/>
          <w:color w:val="000000"/>
          <w:sz w:val="24"/>
          <w:szCs w:val="24"/>
          <w:shd w:val="clear" w:color="auto" w:fill="FFFFFF"/>
          <w:lang w:val="sv-SE"/>
        </w:rPr>
        <w:t>88</w:t>
      </w:r>
      <w:r w:rsidR="00A97361" w:rsidRPr="00A97361">
        <w:rPr>
          <w:rFonts w:cs="Arial"/>
          <w:color w:val="000000"/>
          <w:sz w:val="24"/>
          <w:szCs w:val="24"/>
          <w:shd w:val="clear" w:color="auto" w:fill="FFFFFF"/>
          <w:lang w:val="sv-SE"/>
        </w:rPr>
        <w:t>bis</w:t>
      </w:r>
      <w:r w:rsidR="00A9335C" w:rsidRPr="00A97361">
        <w:rPr>
          <w:rFonts w:eastAsia="MS Mincho" w:cs="Arial"/>
          <w:kern w:val="0"/>
          <w:sz w:val="24"/>
          <w:szCs w:val="24"/>
          <w:lang w:val="sv-SE" w:eastAsia="en-US"/>
        </w:rPr>
        <w:tab/>
      </w:r>
      <w:r w:rsidR="0008268B" w:rsidRPr="0008268B">
        <w:rPr>
          <w:rFonts w:eastAsia="MS Mincho" w:cs="Arial"/>
          <w:kern w:val="0"/>
          <w:sz w:val="24"/>
          <w:szCs w:val="24"/>
          <w:lang w:val="sv-SE" w:eastAsia="en-US"/>
        </w:rPr>
        <w:t>R1-1705196</w:t>
      </w:r>
    </w:p>
    <w:p w14:paraId="099C21DE" w14:textId="54942143" w:rsidR="00D0025C" w:rsidRPr="00D0025C" w:rsidRDefault="00863528" w:rsidP="00D0025C">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3</w:t>
      </w:r>
      <w:r w:rsidR="00D0025C" w:rsidRPr="00D0025C">
        <w:rPr>
          <w:rFonts w:eastAsia="MS Mincho" w:cs="Arial"/>
          <w:kern w:val="0"/>
          <w:sz w:val="24"/>
          <w:szCs w:val="24"/>
          <w:vertAlign w:val="superscript"/>
          <w:lang w:eastAsia="en-US"/>
        </w:rPr>
        <w:t>th</w:t>
      </w:r>
      <w:r w:rsidR="00D0025C">
        <w:rPr>
          <w:rFonts w:eastAsia="MS Mincho" w:cs="Arial"/>
          <w:kern w:val="0"/>
          <w:sz w:val="24"/>
          <w:szCs w:val="24"/>
          <w:lang w:eastAsia="en-US"/>
        </w:rPr>
        <w:t xml:space="preserve"> – </w:t>
      </w:r>
      <w:r>
        <w:rPr>
          <w:rFonts w:eastAsia="MS Mincho" w:cs="Arial"/>
          <w:kern w:val="0"/>
          <w:sz w:val="24"/>
          <w:szCs w:val="24"/>
          <w:lang w:eastAsia="en-US"/>
        </w:rPr>
        <w:t>7</w:t>
      </w:r>
      <w:r w:rsidR="00D0025C" w:rsidRPr="00D0025C">
        <w:rPr>
          <w:rFonts w:eastAsia="MS Mincho" w:cs="Arial"/>
          <w:kern w:val="0"/>
          <w:sz w:val="24"/>
          <w:szCs w:val="24"/>
          <w:vertAlign w:val="superscript"/>
          <w:lang w:eastAsia="en-US"/>
        </w:rPr>
        <w:t>th</w:t>
      </w:r>
      <w:r w:rsidR="00D0025C" w:rsidRPr="00D0025C">
        <w:rPr>
          <w:rFonts w:eastAsia="MS Mincho" w:cs="Arial"/>
          <w:kern w:val="0"/>
          <w:sz w:val="24"/>
          <w:szCs w:val="24"/>
          <w:lang w:eastAsia="en-US"/>
        </w:rPr>
        <w:t xml:space="preserve"> </w:t>
      </w:r>
      <w:r w:rsidR="00A97361">
        <w:rPr>
          <w:rFonts w:eastAsia="MS Mincho" w:cs="Arial"/>
          <w:kern w:val="0"/>
          <w:sz w:val="24"/>
          <w:szCs w:val="24"/>
          <w:lang w:eastAsia="en-US"/>
        </w:rPr>
        <w:t>April</w:t>
      </w:r>
      <w:r w:rsidR="00D0025C" w:rsidRPr="00D0025C">
        <w:rPr>
          <w:rFonts w:eastAsia="MS Mincho" w:cs="Arial"/>
          <w:kern w:val="0"/>
          <w:sz w:val="24"/>
          <w:szCs w:val="24"/>
          <w:lang w:eastAsia="en-US"/>
        </w:rPr>
        <w:t xml:space="preserve"> 201</w:t>
      </w:r>
      <w:r>
        <w:rPr>
          <w:rFonts w:eastAsia="MS Mincho" w:cs="Arial"/>
          <w:kern w:val="0"/>
          <w:sz w:val="24"/>
          <w:szCs w:val="24"/>
          <w:lang w:eastAsia="en-US"/>
        </w:rPr>
        <w:t>7</w:t>
      </w:r>
    </w:p>
    <w:p w14:paraId="45CBF74C" w14:textId="3A5C3789" w:rsidR="00D0025C" w:rsidRPr="00D0025C" w:rsidRDefault="00A97361" w:rsidP="00D0025C">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Pr>
          <w:rFonts w:eastAsia="MS Mincho" w:cs="Arial"/>
          <w:kern w:val="0"/>
          <w:sz w:val="24"/>
          <w:szCs w:val="24"/>
          <w:lang w:val="en-US" w:eastAsia="en-US"/>
        </w:rPr>
        <w:t>Spokane</w:t>
      </w:r>
      <w:r w:rsidR="00863528">
        <w:rPr>
          <w:rFonts w:eastAsia="MS Mincho" w:cs="Arial"/>
          <w:kern w:val="0"/>
          <w:sz w:val="24"/>
          <w:szCs w:val="24"/>
          <w:lang w:val="en-US" w:eastAsia="en-US"/>
        </w:rPr>
        <w:t xml:space="preserve">, </w:t>
      </w:r>
      <w:r>
        <w:rPr>
          <w:rFonts w:eastAsia="MS Mincho" w:cs="Arial"/>
          <w:kern w:val="0"/>
          <w:sz w:val="24"/>
          <w:szCs w:val="24"/>
          <w:lang w:val="en-US" w:eastAsia="en-US"/>
        </w:rPr>
        <w:t>US</w:t>
      </w:r>
    </w:p>
    <w:p w14:paraId="3CDAFA8C" w14:textId="77777777" w:rsidR="00D0025C" w:rsidRPr="00D0025C" w:rsidRDefault="00D0025C" w:rsidP="00D0025C">
      <w:pPr>
        <w:pStyle w:val="3GPPHeader"/>
        <w:spacing w:after="120"/>
        <w:rPr>
          <w:rFonts w:ascii="Arial" w:hAnsi="Arial" w:cs="Arial"/>
          <w:sz w:val="22"/>
        </w:rPr>
      </w:pPr>
    </w:p>
    <w:p w14:paraId="37CAA1D4" w14:textId="7FB9EA78" w:rsidR="00D0025C" w:rsidRPr="00D0025C" w:rsidRDefault="00D0025C" w:rsidP="00D0025C">
      <w:pPr>
        <w:pStyle w:val="3GPPHeader"/>
        <w:spacing w:after="120"/>
        <w:rPr>
          <w:rFonts w:ascii="Arial" w:hAnsi="Arial" w:cs="Arial"/>
          <w:sz w:val="22"/>
        </w:rPr>
      </w:pPr>
      <w:r w:rsidRPr="00D0025C">
        <w:rPr>
          <w:rFonts w:ascii="Arial" w:hAnsi="Arial" w:cs="Arial"/>
          <w:sz w:val="22"/>
        </w:rPr>
        <w:t>Agenda Item:</w:t>
      </w:r>
      <w:r w:rsidRPr="00D0025C">
        <w:rPr>
          <w:rFonts w:ascii="Arial" w:hAnsi="Arial" w:cs="Arial"/>
          <w:sz w:val="22"/>
        </w:rPr>
        <w:tab/>
      </w:r>
      <w:r w:rsidR="0008268B" w:rsidRPr="0008268B">
        <w:rPr>
          <w:rFonts w:ascii="Arial" w:hAnsi="Arial" w:cs="Arial"/>
          <w:b w:val="0"/>
          <w:sz w:val="22"/>
        </w:rPr>
        <w:t>7.2.6.6</w:t>
      </w:r>
      <w:r w:rsidR="00590754">
        <w:rPr>
          <w:rFonts w:ascii="Arial" w:hAnsi="Arial" w:cs="Arial"/>
          <w:b w:val="0"/>
          <w:bCs/>
          <w:sz w:val="22"/>
        </w:rPr>
        <w:t xml:space="preserve"> </w:t>
      </w:r>
    </w:p>
    <w:p w14:paraId="73AF1B1A"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1FAFB387" w14:textId="187DF61B"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2E69EE" w:rsidRPr="002E69EE">
        <w:rPr>
          <w:rFonts w:ascii="Arial" w:hAnsi="Arial" w:cs="Arial"/>
          <w:b w:val="0"/>
          <w:bCs/>
          <w:sz w:val="22"/>
        </w:rPr>
        <w:t>Increased PUSCH spectral efficiency for MTC</w:t>
      </w:r>
    </w:p>
    <w:p w14:paraId="3286F7EB" w14:textId="77777777" w:rsidR="00D0025C" w:rsidRPr="001C1703" w:rsidRDefault="00D0025C" w:rsidP="00D0025C">
      <w:pPr>
        <w:pStyle w:val="3GPPHeade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r w:rsidRPr="001C1703">
        <w:tab/>
      </w:r>
    </w:p>
    <w:p w14:paraId="7EE1BCD9" w14:textId="77777777" w:rsidR="00841A5A" w:rsidRDefault="00D0025C" w:rsidP="00841A5A">
      <w:pPr>
        <w:pStyle w:val="Heading1"/>
      </w:pPr>
      <w:bookmarkStart w:id="1" w:name="_Ref409106980"/>
      <w:r w:rsidRPr="00040C32">
        <w:t>Introduction</w:t>
      </w:r>
      <w:bookmarkStart w:id="2" w:name="_Ref465843822"/>
      <w:bookmarkEnd w:id="1"/>
    </w:p>
    <w:p w14:paraId="3516BFCD" w14:textId="6A995612" w:rsidR="00841A5A" w:rsidRDefault="00841A5A" w:rsidP="00841A5A">
      <w:pPr>
        <w:pStyle w:val="BodyText"/>
      </w:pPr>
      <w:r>
        <w:t xml:space="preserve">In </w:t>
      </w:r>
      <w:r w:rsidR="00B45D42">
        <w:t>Rel-1</w:t>
      </w:r>
      <w:r w:rsidR="00A57673">
        <w:t>5</w:t>
      </w:r>
      <w:r w:rsidR="00B45D42">
        <w:t xml:space="preserve">, </w:t>
      </w:r>
      <w:r w:rsidR="00375808">
        <w:t>e</w:t>
      </w:r>
      <w:r w:rsidR="002E69EE" w:rsidRPr="002E69EE">
        <w:t>ven further enhanced MTC for LTE</w:t>
      </w:r>
      <w:r w:rsidR="00375808">
        <w:t xml:space="preserve"> </w:t>
      </w:r>
      <w:r w:rsidR="00B45D42">
        <w:t xml:space="preserve">work item (WI) is </w:t>
      </w:r>
      <w:r w:rsidR="00A57673">
        <w:t>agreed as</w:t>
      </w:r>
      <w:r w:rsidR="007C0E55">
        <w:t xml:space="preserve"> a</w:t>
      </w:r>
      <w:r w:rsidR="00A57673">
        <w:t xml:space="preserve"> working agreement</w:t>
      </w:r>
      <w:r w:rsidR="00B45D42">
        <w:t xml:space="preserve"> to further enhance the performance of </w:t>
      </w:r>
      <w:r w:rsidR="00375808">
        <w:t>MTC</w:t>
      </w:r>
      <w:r w:rsidR="00C4627A">
        <w:t xml:space="preserve"> in terms of </w:t>
      </w:r>
      <w:r w:rsidR="007C0E55">
        <w:t xml:space="preserve">further </w:t>
      </w:r>
      <w:r w:rsidR="00C4627A">
        <w:t xml:space="preserve">latency and power consumption reduction, improvement of </w:t>
      </w:r>
      <w:r w:rsidR="00375808">
        <w:t>spectral efficiency</w:t>
      </w:r>
      <w:r w:rsidR="00C4627A">
        <w:t xml:space="preserve">, </w:t>
      </w:r>
      <w:r w:rsidR="00375808">
        <w:t>improvement of load control and some new requirements</w:t>
      </w:r>
      <w:r w:rsidR="005E71E5">
        <w:t xml:space="preserve"> </w:t>
      </w:r>
      <w:r w:rsidR="005E71E5">
        <w:fldChar w:fldCharType="begin"/>
      </w:r>
      <w:r w:rsidR="005E71E5">
        <w:instrText xml:space="preserve"> REF _Ref477871238 \r \h </w:instrText>
      </w:r>
      <w:r w:rsidR="005E71E5">
        <w:fldChar w:fldCharType="separate"/>
      </w:r>
      <w:r w:rsidR="00E826D0">
        <w:t>[1]</w:t>
      </w:r>
      <w:r w:rsidR="005E71E5">
        <w:fldChar w:fldCharType="end"/>
      </w:r>
      <w:r w:rsidR="00C4627A">
        <w:t>.</w:t>
      </w:r>
      <w:r w:rsidR="00B45D42">
        <w:t xml:space="preserve"> </w:t>
      </w:r>
    </w:p>
    <w:p w14:paraId="2AF664FB" w14:textId="29236208" w:rsidR="00375808" w:rsidRDefault="00375808" w:rsidP="00CB7299">
      <w:pPr>
        <w:jc w:val="both"/>
        <w:rPr>
          <w:rFonts w:ascii="Arial" w:eastAsia="Times New Roman" w:hAnsi="Arial"/>
          <w:sz w:val="20"/>
          <w:szCs w:val="20"/>
          <w:lang w:val="en-GB" w:eastAsia="zh-CN"/>
        </w:rPr>
      </w:pPr>
      <w:r w:rsidRPr="00375808">
        <w:rPr>
          <w:rFonts w:ascii="Arial" w:eastAsia="Times New Roman" w:hAnsi="Arial"/>
          <w:sz w:val="20"/>
          <w:szCs w:val="20"/>
          <w:lang w:val="en-GB" w:eastAsia="zh-CN"/>
        </w:rPr>
        <w:t>Increased PUSCH spectral efficiency</w:t>
      </w:r>
      <w:r>
        <w:rPr>
          <w:rFonts w:ascii="Arial" w:eastAsia="Times New Roman" w:hAnsi="Arial"/>
          <w:sz w:val="20"/>
          <w:szCs w:val="20"/>
          <w:lang w:val="en-GB" w:eastAsia="zh-CN"/>
        </w:rPr>
        <w:t xml:space="preserve"> is a goal targeted in the WI as follows. </w:t>
      </w:r>
    </w:p>
    <w:p w14:paraId="52F415D1" w14:textId="77777777" w:rsidR="00375808" w:rsidRPr="00375808" w:rsidRDefault="00375808" w:rsidP="00375808">
      <w:pPr>
        <w:numPr>
          <w:ilvl w:val="0"/>
          <w:numId w:val="32"/>
        </w:numPr>
        <w:overflowPunct w:val="0"/>
        <w:autoSpaceDE w:val="0"/>
        <w:autoSpaceDN w:val="0"/>
        <w:adjustRightInd w:val="0"/>
        <w:spacing w:after="180"/>
        <w:ind w:right="-99"/>
        <w:textAlignment w:val="baseline"/>
        <w:rPr>
          <w:rFonts w:ascii="Arial" w:eastAsia="SimSun" w:hAnsi="Arial" w:cs="Arial"/>
          <w:sz w:val="20"/>
          <w:szCs w:val="20"/>
        </w:rPr>
      </w:pPr>
      <w:r w:rsidRPr="00375808">
        <w:rPr>
          <w:rFonts w:ascii="Arial" w:eastAsia="SimSun" w:hAnsi="Arial" w:cs="Arial"/>
          <w:sz w:val="20"/>
          <w:szCs w:val="20"/>
        </w:rPr>
        <w:t>Increased PUSCH spectral efficiency [RAN1 lead, RAN2, RAN4]</w:t>
      </w:r>
    </w:p>
    <w:p w14:paraId="78F5DFB8" w14:textId="77777777" w:rsidR="00375808" w:rsidRPr="00375808" w:rsidRDefault="00375808" w:rsidP="00375808">
      <w:pPr>
        <w:numPr>
          <w:ilvl w:val="0"/>
          <w:numId w:val="33"/>
        </w:numPr>
        <w:overflowPunct w:val="0"/>
        <w:autoSpaceDE w:val="0"/>
        <w:autoSpaceDN w:val="0"/>
        <w:adjustRightInd w:val="0"/>
        <w:spacing w:after="180"/>
        <w:ind w:right="-99"/>
        <w:textAlignment w:val="baseline"/>
        <w:rPr>
          <w:rFonts w:ascii="Arial" w:eastAsia="SimSun" w:hAnsi="Arial" w:cs="Arial"/>
          <w:sz w:val="20"/>
          <w:szCs w:val="20"/>
        </w:rPr>
      </w:pPr>
      <w:r w:rsidRPr="00375808">
        <w:rPr>
          <w:rFonts w:ascii="Arial" w:eastAsia="SimSun" w:hAnsi="Arial" w:cs="Arial"/>
          <w:sz w:val="20"/>
          <w:szCs w:val="20"/>
        </w:rPr>
        <w:t>E.g. sub-PRB resource allocation, with no less than 3 subcarriers within a sub-PRB allocation.</w:t>
      </w:r>
    </w:p>
    <w:p w14:paraId="0B948C29" w14:textId="77777777" w:rsidR="00375808" w:rsidRPr="00375808" w:rsidRDefault="00375808" w:rsidP="00375808">
      <w:pPr>
        <w:numPr>
          <w:ilvl w:val="0"/>
          <w:numId w:val="33"/>
        </w:numPr>
        <w:overflowPunct w:val="0"/>
        <w:autoSpaceDE w:val="0"/>
        <w:autoSpaceDN w:val="0"/>
        <w:adjustRightInd w:val="0"/>
        <w:spacing w:after="180"/>
        <w:ind w:right="-99"/>
        <w:textAlignment w:val="baseline"/>
        <w:rPr>
          <w:rFonts w:ascii="Arial" w:eastAsia="SimSun" w:hAnsi="Arial" w:cs="Arial"/>
          <w:sz w:val="20"/>
          <w:szCs w:val="20"/>
        </w:rPr>
      </w:pPr>
      <w:r w:rsidRPr="00375808">
        <w:rPr>
          <w:rFonts w:ascii="Arial" w:eastAsia="SimSun" w:hAnsi="Arial" w:cs="Arial"/>
          <w:sz w:val="20"/>
          <w:szCs w:val="20"/>
        </w:rPr>
        <w:t>Note: There is no intention to lower the minimum required UE capability compared to UE category M1 as part of this WI, i.e. the UE shall still support a PUSCH transmission of 6 PRBs.</w:t>
      </w:r>
    </w:p>
    <w:p w14:paraId="70216BE6" w14:textId="536DBD8E" w:rsidR="00CB7299" w:rsidRPr="00375808" w:rsidRDefault="00CB7299" w:rsidP="00CB7299">
      <w:pPr>
        <w:jc w:val="both"/>
        <w:rPr>
          <w:rFonts w:ascii="Arial" w:eastAsia="Times New Roman" w:hAnsi="Arial"/>
          <w:sz w:val="20"/>
          <w:szCs w:val="20"/>
          <w:lang w:val="en-GB" w:eastAsia="zh-CN"/>
        </w:rPr>
      </w:pPr>
      <w:r w:rsidRPr="00375808">
        <w:rPr>
          <w:rFonts w:ascii="Arial" w:eastAsia="Times New Roman" w:hAnsi="Arial"/>
          <w:sz w:val="20"/>
          <w:szCs w:val="20"/>
          <w:lang w:val="en-GB" w:eastAsia="zh-CN"/>
        </w:rPr>
        <w:t xml:space="preserve">In this contribution, we </w:t>
      </w:r>
      <w:r w:rsidR="00375808">
        <w:rPr>
          <w:rFonts w:ascii="Arial" w:eastAsia="Times New Roman" w:hAnsi="Arial"/>
          <w:sz w:val="20"/>
          <w:szCs w:val="20"/>
          <w:lang w:val="en-GB" w:eastAsia="zh-CN"/>
        </w:rPr>
        <w:t xml:space="preserve">discuss our point of view of how to improve the spectral efficiency of PUSCH in the context of MTC.  </w:t>
      </w:r>
    </w:p>
    <w:p w14:paraId="431CCE30" w14:textId="72A587B2" w:rsidR="00D0025C" w:rsidRDefault="00D0025C" w:rsidP="00040C32">
      <w:pPr>
        <w:pStyle w:val="Heading1"/>
      </w:pPr>
      <w:r w:rsidRPr="00040C32">
        <w:t>Background</w:t>
      </w:r>
      <w:bookmarkEnd w:id="2"/>
    </w:p>
    <w:p w14:paraId="5353B8B1" w14:textId="2A1FF59C" w:rsidR="006823AB" w:rsidRDefault="006823AB" w:rsidP="006823AB">
      <w:pPr>
        <w:jc w:val="both"/>
        <w:rPr>
          <w:rFonts w:ascii="Arial" w:eastAsia="Times New Roman" w:hAnsi="Arial"/>
          <w:sz w:val="20"/>
          <w:szCs w:val="20"/>
          <w:lang w:val="en-GB" w:eastAsia="zh-CN"/>
        </w:rPr>
      </w:pPr>
      <w:r>
        <w:rPr>
          <w:rFonts w:ascii="Arial" w:hAnsi="Arial" w:cs="Arial"/>
          <w:sz w:val="20"/>
          <w:szCs w:val="20"/>
          <w:lang w:val="en-GB"/>
        </w:rPr>
        <w:t xml:space="preserve">There are two coverage enhancement modes, i.e., Mode A and Mode B, are defined for the current LTE cat </w:t>
      </w:r>
      <w:r w:rsidRPr="006823AB">
        <w:rPr>
          <w:rFonts w:ascii="Arial" w:eastAsia="Times New Roman" w:hAnsi="Arial"/>
          <w:sz w:val="20"/>
          <w:szCs w:val="20"/>
          <w:lang w:val="en-GB" w:eastAsia="zh-CN"/>
        </w:rPr>
        <w:t>M devices, a.k.a eMTC devices. Coverage enhancement mode A is mandatory for all eMTC UEs, and it supports moderate coverage enhancement, whereas the optional mode B support very deep coverage.</w:t>
      </w:r>
      <w:r>
        <w:rPr>
          <w:rFonts w:ascii="Arial" w:eastAsia="Times New Roman" w:hAnsi="Arial"/>
          <w:sz w:val="20"/>
          <w:szCs w:val="20"/>
          <w:lang w:val="en-GB" w:eastAsia="zh-CN"/>
        </w:rPr>
        <w:t xml:space="preserve"> For the UL, in the current design, the minimum resource a UE can be allocated to is one PRB, and the use of repetitions is employed to enhance the coverage.  Mode A UEs support a maximum number of repetitions of 32 of PUSCH, and mode B UEs support a maximum number of repetitions of 2048 of PUSCH. Other coverage enhancement techniques, e.g., cr</w:t>
      </w:r>
      <w:r w:rsidR="00416F72">
        <w:rPr>
          <w:rFonts w:ascii="Arial" w:eastAsia="Times New Roman" w:hAnsi="Arial"/>
          <w:sz w:val="20"/>
          <w:szCs w:val="20"/>
          <w:lang w:val="en-GB" w:eastAsia="zh-CN"/>
        </w:rPr>
        <w:t xml:space="preserve">oss subframe channel estimation, frequency hopping, </w:t>
      </w:r>
      <w:r w:rsidR="00B74F2C">
        <w:rPr>
          <w:rFonts w:ascii="Arial" w:eastAsia="Times New Roman" w:hAnsi="Arial"/>
          <w:sz w:val="20"/>
          <w:szCs w:val="20"/>
          <w:lang w:val="en-GB" w:eastAsia="zh-CN"/>
        </w:rPr>
        <w:t>etc.</w:t>
      </w:r>
      <w:r w:rsidR="00416F72">
        <w:rPr>
          <w:rFonts w:ascii="Arial" w:eastAsia="Times New Roman" w:hAnsi="Arial"/>
          <w:sz w:val="20"/>
          <w:szCs w:val="20"/>
          <w:lang w:val="en-GB" w:eastAsia="zh-CN"/>
        </w:rPr>
        <w:t xml:space="preserve"> are also used in eMTC for coverage enhancement. </w:t>
      </w:r>
    </w:p>
    <w:p w14:paraId="0556C802" w14:textId="3165220B" w:rsidR="000F6FF5" w:rsidRDefault="00D21CF7" w:rsidP="000F6FF5">
      <w:pPr>
        <w:pStyle w:val="Heading1"/>
      </w:pPr>
      <w:r>
        <w:t>Sub-PRB resource allocation in PUSCH</w:t>
      </w:r>
    </w:p>
    <w:p w14:paraId="28723E52" w14:textId="31FF667E" w:rsidR="00C54426" w:rsidRPr="00AF3227" w:rsidRDefault="00D21CF7" w:rsidP="000F6FF5">
      <w:pPr>
        <w:jc w:val="both"/>
        <w:rPr>
          <w:rFonts w:ascii="Arial" w:hAnsi="Arial" w:cs="Arial"/>
          <w:sz w:val="20"/>
          <w:szCs w:val="20"/>
          <w:lang w:val="en-GB"/>
        </w:rPr>
      </w:pPr>
      <w:r w:rsidRPr="00AF3227">
        <w:rPr>
          <w:rFonts w:ascii="Arial" w:hAnsi="Arial" w:cs="Arial"/>
          <w:sz w:val="20"/>
          <w:szCs w:val="20"/>
          <w:lang w:val="en-GB"/>
        </w:rPr>
        <w:t xml:space="preserve">As mentioned above, currently the minimum </w:t>
      </w:r>
      <w:r w:rsidR="000B6F24" w:rsidRPr="00AF3227">
        <w:rPr>
          <w:rFonts w:ascii="Arial" w:hAnsi="Arial" w:cs="Arial"/>
          <w:sz w:val="20"/>
          <w:szCs w:val="20"/>
          <w:lang w:val="en-GB"/>
        </w:rPr>
        <w:t xml:space="preserve">resource allocation for PUSCH in eMTC is 1 PRB. In previous studies </w:t>
      </w:r>
      <w:r w:rsidR="000B6F24" w:rsidRPr="00AF3227">
        <w:rPr>
          <w:rFonts w:ascii="Arial" w:hAnsi="Arial" w:cs="Arial"/>
          <w:sz w:val="20"/>
          <w:szCs w:val="20"/>
          <w:lang w:val="en-GB"/>
        </w:rPr>
        <w:fldChar w:fldCharType="begin"/>
      </w:r>
      <w:r w:rsidR="000B6F24" w:rsidRPr="00AF3227">
        <w:rPr>
          <w:rFonts w:ascii="Arial" w:hAnsi="Arial" w:cs="Arial"/>
          <w:sz w:val="20"/>
          <w:szCs w:val="20"/>
          <w:lang w:val="en-GB"/>
        </w:rPr>
        <w:instrText xml:space="preserve"> REF _Ref477866921 \r \h </w:instrText>
      </w:r>
      <w:r w:rsidR="00C54426" w:rsidRPr="00AF3227">
        <w:rPr>
          <w:rFonts w:ascii="Arial" w:hAnsi="Arial" w:cs="Arial"/>
          <w:sz w:val="20"/>
          <w:szCs w:val="20"/>
          <w:lang w:val="en-GB"/>
        </w:rPr>
        <w:instrText xml:space="preserve"> \* MERGEFORMAT </w:instrText>
      </w:r>
      <w:r w:rsidR="000B6F24" w:rsidRPr="00AF3227">
        <w:rPr>
          <w:rFonts w:ascii="Arial" w:hAnsi="Arial" w:cs="Arial"/>
          <w:sz w:val="20"/>
          <w:szCs w:val="20"/>
          <w:lang w:val="en-GB"/>
        </w:rPr>
      </w:r>
      <w:r w:rsidR="000B6F24" w:rsidRPr="00AF3227">
        <w:rPr>
          <w:rFonts w:ascii="Arial" w:hAnsi="Arial" w:cs="Arial"/>
          <w:sz w:val="20"/>
          <w:szCs w:val="20"/>
          <w:lang w:val="en-GB"/>
        </w:rPr>
        <w:fldChar w:fldCharType="separate"/>
      </w:r>
      <w:r w:rsidR="00E826D0">
        <w:rPr>
          <w:rFonts w:ascii="Arial" w:hAnsi="Arial" w:cs="Arial"/>
          <w:sz w:val="20"/>
          <w:szCs w:val="20"/>
          <w:lang w:val="en-GB"/>
        </w:rPr>
        <w:t>[2]</w:t>
      </w:r>
      <w:r w:rsidR="000B6F24" w:rsidRPr="00AF3227">
        <w:rPr>
          <w:rFonts w:ascii="Arial" w:hAnsi="Arial" w:cs="Arial"/>
          <w:sz w:val="20"/>
          <w:szCs w:val="20"/>
          <w:lang w:val="en-GB"/>
        </w:rPr>
        <w:fldChar w:fldCharType="end"/>
      </w:r>
      <w:r w:rsidR="000B6F24" w:rsidRPr="00AF3227">
        <w:rPr>
          <w:rFonts w:ascii="Arial" w:hAnsi="Arial" w:cs="Arial"/>
          <w:sz w:val="20"/>
          <w:szCs w:val="20"/>
          <w:lang w:val="en-GB"/>
        </w:rPr>
        <w:t>, it is identified in bad coverage area, using small bandwidth can efficiently multiply more UEs in a given time, which improves the UL capacity</w:t>
      </w:r>
      <w:r w:rsidR="000A3BCF" w:rsidRPr="00AF3227">
        <w:rPr>
          <w:rFonts w:ascii="Arial" w:hAnsi="Arial" w:cs="Arial"/>
          <w:sz w:val="20"/>
          <w:szCs w:val="20"/>
          <w:lang w:val="en-GB"/>
        </w:rPr>
        <w:t>.</w:t>
      </w:r>
      <w:r w:rsidR="00C54426" w:rsidRPr="00AF3227">
        <w:rPr>
          <w:rFonts w:ascii="Arial" w:hAnsi="Arial" w:cs="Arial"/>
          <w:sz w:val="20"/>
          <w:szCs w:val="20"/>
          <w:lang w:val="en-GB"/>
        </w:rPr>
        <w:t xml:space="preserve"> </w:t>
      </w:r>
      <w:r w:rsidR="004F6D7B" w:rsidRPr="00AF3227">
        <w:rPr>
          <w:rFonts w:ascii="Arial" w:hAnsi="Arial" w:cs="Arial"/>
          <w:sz w:val="20"/>
          <w:szCs w:val="20"/>
          <w:lang w:val="en-GB"/>
        </w:rPr>
        <w:t xml:space="preserve">Some preliminary </w:t>
      </w:r>
      <w:r w:rsidR="00A75202" w:rsidRPr="00AF3227">
        <w:rPr>
          <w:rFonts w:ascii="Arial" w:hAnsi="Arial" w:cs="Arial"/>
          <w:sz w:val="20"/>
          <w:szCs w:val="20"/>
          <w:lang w:val="en-GB"/>
        </w:rPr>
        <w:t xml:space="preserve">results of the UE throughput by using different number of subcarriers </w:t>
      </w:r>
      <w:r w:rsidR="004F6D7B" w:rsidRPr="00AF3227">
        <w:rPr>
          <w:rFonts w:ascii="Arial" w:hAnsi="Arial" w:cs="Arial"/>
          <w:sz w:val="20"/>
          <w:szCs w:val="20"/>
          <w:lang w:val="en-GB"/>
        </w:rPr>
        <w:t>are given on</w:t>
      </w:r>
      <w:r w:rsidR="00A75202" w:rsidRPr="00AF3227">
        <w:rPr>
          <w:rFonts w:ascii="Arial" w:hAnsi="Arial" w:cs="Arial"/>
          <w:sz w:val="20"/>
          <w:szCs w:val="20"/>
          <w:lang w:val="en-GB"/>
        </w:rPr>
        <w:t xml:space="preserve"> </w:t>
      </w:r>
      <w:r w:rsidR="007E0874">
        <w:rPr>
          <w:rFonts w:ascii="Arial" w:hAnsi="Arial" w:cs="Arial"/>
          <w:sz w:val="20"/>
          <w:szCs w:val="20"/>
          <w:lang w:val="en-GB"/>
        </w:rPr>
        <w:fldChar w:fldCharType="begin"/>
      </w:r>
      <w:r w:rsidR="007E0874">
        <w:rPr>
          <w:rFonts w:ascii="Arial" w:hAnsi="Arial" w:cs="Arial"/>
          <w:sz w:val="20"/>
          <w:szCs w:val="20"/>
          <w:lang w:val="en-GB"/>
        </w:rPr>
        <w:instrText xml:space="preserve"> REF _Ref478144338 \h  \* MERGEFORMAT </w:instrText>
      </w:r>
      <w:r w:rsidR="007E0874">
        <w:rPr>
          <w:rFonts w:ascii="Arial" w:hAnsi="Arial" w:cs="Arial"/>
          <w:sz w:val="20"/>
          <w:szCs w:val="20"/>
          <w:lang w:val="en-GB"/>
        </w:rPr>
      </w:r>
      <w:r w:rsidR="007E0874">
        <w:rPr>
          <w:rFonts w:ascii="Arial" w:hAnsi="Arial" w:cs="Arial"/>
          <w:sz w:val="20"/>
          <w:szCs w:val="20"/>
          <w:lang w:val="en-GB"/>
        </w:rPr>
        <w:fldChar w:fldCharType="separate"/>
      </w:r>
      <w:r w:rsidR="00E826D0" w:rsidRPr="00E826D0">
        <w:rPr>
          <w:rFonts w:ascii="Arial" w:hAnsi="Arial" w:cs="Arial"/>
          <w:sz w:val="20"/>
          <w:szCs w:val="20"/>
          <w:lang w:val="en-GB"/>
        </w:rPr>
        <w:t>Figure 1</w:t>
      </w:r>
      <w:r w:rsidR="007E0874">
        <w:rPr>
          <w:rFonts w:ascii="Arial" w:hAnsi="Arial" w:cs="Arial"/>
          <w:sz w:val="20"/>
          <w:szCs w:val="20"/>
          <w:lang w:val="en-GB"/>
        </w:rPr>
        <w:fldChar w:fldCharType="end"/>
      </w:r>
      <w:r w:rsidR="007E0874">
        <w:rPr>
          <w:rFonts w:ascii="Arial" w:hAnsi="Arial" w:cs="Arial"/>
          <w:sz w:val="20"/>
          <w:szCs w:val="20"/>
          <w:lang w:val="en-GB"/>
        </w:rPr>
        <w:t xml:space="preserve"> </w:t>
      </w:r>
      <w:r w:rsidR="00486624">
        <w:rPr>
          <w:rFonts w:ascii="Arial" w:hAnsi="Arial" w:cs="Arial"/>
          <w:sz w:val="20"/>
          <w:szCs w:val="20"/>
          <w:lang w:val="en-GB"/>
        </w:rPr>
        <w:t xml:space="preserve">and </w:t>
      </w:r>
      <w:r w:rsidR="007E0874">
        <w:rPr>
          <w:rFonts w:ascii="Arial" w:hAnsi="Arial" w:cs="Arial"/>
          <w:sz w:val="20"/>
          <w:szCs w:val="20"/>
          <w:lang w:val="en-GB"/>
        </w:rPr>
        <w:fldChar w:fldCharType="begin"/>
      </w:r>
      <w:r w:rsidR="007E0874">
        <w:rPr>
          <w:rFonts w:ascii="Arial" w:hAnsi="Arial" w:cs="Arial"/>
          <w:sz w:val="20"/>
          <w:szCs w:val="20"/>
          <w:lang w:val="en-GB"/>
        </w:rPr>
        <w:instrText xml:space="preserve"> REF _Ref478144346 \h  \* MERGEFORMAT </w:instrText>
      </w:r>
      <w:r w:rsidR="007E0874">
        <w:rPr>
          <w:rFonts w:ascii="Arial" w:hAnsi="Arial" w:cs="Arial"/>
          <w:sz w:val="20"/>
          <w:szCs w:val="20"/>
          <w:lang w:val="en-GB"/>
        </w:rPr>
      </w:r>
      <w:r w:rsidR="007E0874">
        <w:rPr>
          <w:rFonts w:ascii="Arial" w:hAnsi="Arial" w:cs="Arial"/>
          <w:sz w:val="20"/>
          <w:szCs w:val="20"/>
          <w:lang w:val="en-GB"/>
        </w:rPr>
        <w:fldChar w:fldCharType="separate"/>
      </w:r>
      <w:r w:rsidR="00E826D0" w:rsidRPr="00E826D0">
        <w:rPr>
          <w:rFonts w:ascii="Arial" w:hAnsi="Arial" w:cs="Arial"/>
          <w:sz w:val="20"/>
          <w:szCs w:val="20"/>
          <w:lang w:val="en-GB"/>
        </w:rPr>
        <w:t>Figure 2</w:t>
      </w:r>
      <w:r w:rsidR="007E0874">
        <w:rPr>
          <w:rFonts w:ascii="Arial" w:hAnsi="Arial" w:cs="Arial"/>
          <w:sz w:val="20"/>
          <w:szCs w:val="20"/>
          <w:lang w:val="en-GB"/>
        </w:rPr>
        <w:fldChar w:fldCharType="end"/>
      </w:r>
      <w:r w:rsidR="004F6D7B" w:rsidRPr="00AF3227">
        <w:rPr>
          <w:rFonts w:ascii="Arial" w:hAnsi="Arial" w:cs="Arial"/>
          <w:sz w:val="20"/>
          <w:szCs w:val="20"/>
          <w:lang w:val="en-GB"/>
        </w:rPr>
        <w:t xml:space="preserve">. </w:t>
      </w:r>
      <w:r w:rsidR="007E0874">
        <w:rPr>
          <w:rFonts w:ascii="Arial" w:hAnsi="Arial" w:cs="Arial"/>
          <w:sz w:val="20"/>
          <w:szCs w:val="20"/>
          <w:lang w:val="en-GB"/>
        </w:rPr>
        <w:fldChar w:fldCharType="begin"/>
      </w:r>
      <w:r w:rsidR="007E0874">
        <w:rPr>
          <w:rFonts w:ascii="Arial" w:hAnsi="Arial" w:cs="Arial"/>
          <w:sz w:val="20"/>
          <w:szCs w:val="20"/>
          <w:lang w:val="en-GB"/>
        </w:rPr>
        <w:instrText xml:space="preserve"> REF _Ref478144338 \h  \* MERGEFORMAT </w:instrText>
      </w:r>
      <w:r w:rsidR="007E0874">
        <w:rPr>
          <w:rFonts w:ascii="Arial" w:hAnsi="Arial" w:cs="Arial"/>
          <w:sz w:val="20"/>
          <w:szCs w:val="20"/>
          <w:lang w:val="en-GB"/>
        </w:rPr>
      </w:r>
      <w:r w:rsidR="007E0874">
        <w:rPr>
          <w:rFonts w:ascii="Arial" w:hAnsi="Arial" w:cs="Arial"/>
          <w:sz w:val="20"/>
          <w:szCs w:val="20"/>
          <w:lang w:val="en-GB"/>
        </w:rPr>
        <w:fldChar w:fldCharType="separate"/>
      </w:r>
      <w:r w:rsidR="00E826D0" w:rsidRPr="00E826D0">
        <w:rPr>
          <w:rFonts w:ascii="Arial" w:hAnsi="Arial" w:cs="Arial"/>
          <w:sz w:val="20"/>
          <w:szCs w:val="20"/>
          <w:lang w:val="en-GB"/>
        </w:rPr>
        <w:t>Figure 1</w:t>
      </w:r>
      <w:r w:rsidR="007E0874">
        <w:rPr>
          <w:rFonts w:ascii="Arial" w:hAnsi="Arial" w:cs="Arial"/>
          <w:sz w:val="20"/>
          <w:szCs w:val="20"/>
          <w:lang w:val="en-GB"/>
        </w:rPr>
        <w:fldChar w:fldCharType="end"/>
      </w:r>
      <w:r w:rsidR="007E0874">
        <w:rPr>
          <w:rFonts w:ascii="Arial" w:hAnsi="Arial" w:cs="Arial"/>
          <w:sz w:val="20"/>
          <w:szCs w:val="20"/>
          <w:lang w:val="en-GB"/>
        </w:rPr>
        <w:t xml:space="preserve"> </w:t>
      </w:r>
      <w:r w:rsidR="00486624">
        <w:rPr>
          <w:rFonts w:ascii="Arial" w:hAnsi="Arial" w:cs="Arial"/>
          <w:sz w:val="20"/>
          <w:szCs w:val="20"/>
          <w:lang w:val="en-GB"/>
        </w:rPr>
        <w:t xml:space="preserve">shows the case when smaller number of repetition is used (no repetition for 3 subcarriers, 2 repetitions for 6 subcarriers, and 4 repetitions for 12 subcarriers), where </w:t>
      </w:r>
      <w:r w:rsidR="007E0874">
        <w:rPr>
          <w:rFonts w:ascii="Arial" w:hAnsi="Arial" w:cs="Arial"/>
          <w:sz w:val="20"/>
          <w:szCs w:val="20"/>
          <w:lang w:val="en-GB"/>
        </w:rPr>
        <w:fldChar w:fldCharType="begin"/>
      </w:r>
      <w:r w:rsidR="007E0874">
        <w:rPr>
          <w:rFonts w:ascii="Arial" w:hAnsi="Arial" w:cs="Arial"/>
          <w:sz w:val="20"/>
          <w:szCs w:val="20"/>
          <w:lang w:val="en-GB"/>
        </w:rPr>
        <w:instrText xml:space="preserve"> REF _Ref478144346 \h  \* MERGEFORMAT </w:instrText>
      </w:r>
      <w:r w:rsidR="007E0874">
        <w:rPr>
          <w:rFonts w:ascii="Arial" w:hAnsi="Arial" w:cs="Arial"/>
          <w:sz w:val="20"/>
          <w:szCs w:val="20"/>
          <w:lang w:val="en-GB"/>
        </w:rPr>
      </w:r>
      <w:r w:rsidR="007E0874">
        <w:rPr>
          <w:rFonts w:ascii="Arial" w:hAnsi="Arial" w:cs="Arial"/>
          <w:sz w:val="20"/>
          <w:szCs w:val="20"/>
          <w:lang w:val="en-GB"/>
        </w:rPr>
        <w:fldChar w:fldCharType="separate"/>
      </w:r>
      <w:r w:rsidR="00E826D0" w:rsidRPr="00E826D0">
        <w:rPr>
          <w:rFonts w:ascii="Arial" w:hAnsi="Arial" w:cs="Arial"/>
          <w:sz w:val="20"/>
          <w:szCs w:val="20"/>
          <w:lang w:val="en-GB"/>
        </w:rPr>
        <w:t>Figure 2</w:t>
      </w:r>
      <w:r w:rsidR="007E0874">
        <w:rPr>
          <w:rFonts w:ascii="Arial" w:hAnsi="Arial" w:cs="Arial"/>
          <w:sz w:val="20"/>
          <w:szCs w:val="20"/>
          <w:lang w:val="en-GB"/>
        </w:rPr>
        <w:fldChar w:fldCharType="end"/>
      </w:r>
      <w:r w:rsidR="007E0874">
        <w:rPr>
          <w:rFonts w:ascii="Arial" w:hAnsi="Arial" w:cs="Arial"/>
          <w:sz w:val="20"/>
          <w:szCs w:val="20"/>
          <w:lang w:val="en-GB"/>
        </w:rPr>
        <w:t xml:space="preserve"> </w:t>
      </w:r>
      <w:r w:rsidR="00486624">
        <w:rPr>
          <w:rFonts w:ascii="Arial" w:hAnsi="Arial" w:cs="Arial"/>
          <w:sz w:val="20"/>
          <w:szCs w:val="20"/>
          <w:lang w:val="en-GB"/>
        </w:rPr>
        <w:t>shows the case with larger repetitions (16 repetitions for 3 subcarriers, 32 repetitions for 6 subcarriers, and 64 repetitions for 12 subcarriers)</w:t>
      </w:r>
      <w:r w:rsidR="00486624" w:rsidRPr="00AF3227">
        <w:rPr>
          <w:rFonts w:ascii="Arial" w:hAnsi="Arial" w:cs="Arial"/>
          <w:sz w:val="20"/>
          <w:szCs w:val="20"/>
          <w:lang w:val="en-GB"/>
        </w:rPr>
        <w:t xml:space="preserve">. </w:t>
      </w:r>
      <w:r w:rsidR="00486624">
        <w:rPr>
          <w:rFonts w:ascii="Arial" w:hAnsi="Arial" w:cs="Arial"/>
          <w:sz w:val="20"/>
          <w:szCs w:val="20"/>
          <w:lang w:val="en-GB"/>
        </w:rPr>
        <w:t>Other</w:t>
      </w:r>
      <w:r w:rsidR="00A75202" w:rsidRPr="00AF3227">
        <w:rPr>
          <w:rFonts w:ascii="Arial" w:hAnsi="Arial" w:cs="Arial"/>
          <w:sz w:val="20"/>
          <w:szCs w:val="20"/>
          <w:lang w:val="en-GB"/>
        </w:rPr>
        <w:t xml:space="preserve"> simulation assumptions are given in the Annex. </w:t>
      </w:r>
      <w:r w:rsidR="000A3BCF" w:rsidRPr="00AF3227">
        <w:rPr>
          <w:rFonts w:ascii="Arial" w:hAnsi="Arial" w:cs="Arial"/>
          <w:sz w:val="20"/>
          <w:szCs w:val="20"/>
          <w:lang w:val="en-GB"/>
        </w:rPr>
        <w:t xml:space="preserve">Notice that, </w:t>
      </w:r>
      <w:r w:rsidR="00A75202" w:rsidRPr="00AF3227">
        <w:rPr>
          <w:rFonts w:ascii="Arial" w:hAnsi="Arial" w:cs="Arial"/>
          <w:sz w:val="20"/>
          <w:szCs w:val="20"/>
          <w:lang w:val="en-GB"/>
        </w:rPr>
        <w:t xml:space="preserve">at </w:t>
      </w:r>
      <w:r w:rsidR="00AB411F">
        <w:rPr>
          <w:rFonts w:ascii="Arial" w:hAnsi="Arial" w:cs="Arial"/>
          <w:sz w:val="20"/>
          <w:szCs w:val="20"/>
          <w:lang w:val="en-GB"/>
        </w:rPr>
        <w:t xml:space="preserve">medium to </w:t>
      </w:r>
      <w:r w:rsidR="00A75202" w:rsidRPr="00AF3227">
        <w:rPr>
          <w:rFonts w:ascii="Arial" w:hAnsi="Arial" w:cs="Arial"/>
          <w:sz w:val="20"/>
          <w:szCs w:val="20"/>
          <w:lang w:val="en-GB"/>
        </w:rPr>
        <w:t xml:space="preserve">high coupling loss, the use of 3, 6, and 12 subcarriers can achieve similar UE throughput. </w:t>
      </w:r>
      <w:r w:rsidR="00F17071" w:rsidRPr="00AF3227">
        <w:rPr>
          <w:rFonts w:ascii="Arial" w:hAnsi="Arial" w:cs="Arial"/>
          <w:sz w:val="20"/>
          <w:szCs w:val="20"/>
          <w:lang w:val="en-GB"/>
        </w:rPr>
        <w:t>This is because in a power limited region, increase the power spectral density is an effective way to increase the data rate</w:t>
      </w:r>
      <w:r w:rsidR="00A75202" w:rsidRPr="00AF3227">
        <w:rPr>
          <w:rFonts w:ascii="Arial" w:hAnsi="Arial" w:cs="Arial"/>
          <w:sz w:val="20"/>
          <w:szCs w:val="20"/>
          <w:lang w:val="en-GB"/>
        </w:rPr>
        <w:t xml:space="preserve"> rather than increasing the bandwidth</w:t>
      </w:r>
      <w:r w:rsidR="00F17071" w:rsidRPr="00AF3227">
        <w:rPr>
          <w:rFonts w:ascii="Arial" w:hAnsi="Arial" w:cs="Arial"/>
          <w:sz w:val="20"/>
          <w:szCs w:val="20"/>
          <w:lang w:val="en-GB"/>
        </w:rPr>
        <w:t>. However, as the coverage become</w:t>
      </w:r>
      <w:r w:rsidR="00A75202" w:rsidRPr="00AF3227">
        <w:rPr>
          <w:rFonts w:ascii="Arial" w:hAnsi="Arial" w:cs="Arial"/>
          <w:sz w:val="20"/>
          <w:szCs w:val="20"/>
          <w:lang w:val="en-GB"/>
        </w:rPr>
        <w:t>s</w:t>
      </w:r>
      <w:r w:rsidR="00F17071" w:rsidRPr="00AF3227">
        <w:rPr>
          <w:rFonts w:ascii="Arial" w:hAnsi="Arial" w:cs="Arial"/>
          <w:sz w:val="20"/>
          <w:szCs w:val="20"/>
          <w:lang w:val="en-GB"/>
        </w:rPr>
        <w:t xml:space="preserve"> good, using larger b</w:t>
      </w:r>
      <w:r w:rsidR="00A75202" w:rsidRPr="00AF3227">
        <w:rPr>
          <w:rFonts w:ascii="Arial" w:hAnsi="Arial" w:cs="Arial"/>
          <w:sz w:val="20"/>
          <w:szCs w:val="20"/>
          <w:lang w:val="en-GB"/>
        </w:rPr>
        <w:t>andwidth is</w:t>
      </w:r>
      <w:r w:rsidR="00F17071" w:rsidRPr="00AF3227">
        <w:rPr>
          <w:rFonts w:ascii="Arial" w:hAnsi="Arial" w:cs="Arial"/>
          <w:sz w:val="20"/>
          <w:szCs w:val="20"/>
          <w:lang w:val="en-GB"/>
        </w:rPr>
        <w:t xml:space="preserve"> more beneficial to increase the throughput. Therefore, by using smaller bandwidth, more UEs can be served at the same time, without lowering the data rate. And hence improve total UL capacity, as shown </w:t>
      </w:r>
      <w:r w:rsidR="00C54426" w:rsidRPr="00AF3227">
        <w:rPr>
          <w:rFonts w:ascii="Arial" w:hAnsi="Arial" w:cs="Arial"/>
          <w:sz w:val="20"/>
          <w:szCs w:val="20"/>
          <w:lang w:val="en-GB"/>
        </w:rPr>
        <w:t xml:space="preserve">on </w:t>
      </w:r>
      <w:r w:rsidR="00C54426" w:rsidRPr="00AF3227">
        <w:rPr>
          <w:rFonts w:ascii="Arial" w:hAnsi="Arial" w:cs="Arial"/>
          <w:sz w:val="20"/>
          <w:szCs w:val="20"/>
          <w:lang w:val="en-GB"/>
        </w:rPr>
        <w:fldChar w:fldCharType="begin"/>
      </w:r>
      <w:r w:rsidR="00C54426" w:rsidRPr="00AF3227">
        <w:rPr>
          <w:rFonts w:ascii="Arial" w:hAnsi="Arial" w:cs="Arial"/>
          <w:sz w:val="20"/>
          <w:szCs w:val="20"/>
          <w:lang w:val="en-GB"/>
        </w:rPr>
        <w:instrText xml:space="preserve"> REF _Ref477867510 \h </w:instrText>
      </w:r>
      <w:r w:rsidR="00AF3227">
        <w:rPr>
          <w:rFonts w:ascii="Arial" w:hAnsi="Arial" w:cs="Arial"/>
          <w:sz w:val="20"/>
          <w:szCs w:val="20"/>
          <w:lang w:val="en-GB"/>
        </w:rPr>
        <w:instrText xml:space="preserve"> \* MERGEFORMAT </w:instrText>
      </w:r>
      <w:r w:rsidR="00C54426" w:rsidRPr="00AF3227">
        <w:rPr>
          <w:rFonts w:ascii="Arial" w:hAnsi="Arial" w:cs="Arial"/>
          <w:sz w:val="20"/>
          <w:szCs w:val="20"/>
          <w:lang w:val="en-GB"/>
        </w:rPr>
      </w:r>
      <w:r w:rsidR="00C54426" w:rsidRPr="00AF3227">
        <w:rPr>
          <w:rFonts w:ascii="Arial" w:hAnsi="Arial" w:cs="Arial"/>
          <w:sz w:val="20"/>
          <w:szCs w:val="20"/>
          <w:lang w:val="en-GB"/>
        </w:rPr>
        <w:fldChar w:fldCharType="separate"/>
      </w:r>
      <w:r w:rsidR="00E826D0" w:rsidRPr="00E826D0">
        <w:rPr>
          <w:rFonts w:ascii="Arial" w:hAnsi="Arial" w:cs="Arial"/>
          <w:sz w:val="20"/>
          <w:szCs w:val="20"/>
          <w:lang w:val="en-GB"/>
        </w:rPr>
        <w:t>Figure 3</w:t>
      </w:r>
      <w:r w:rsidR="00C54426" w:rsidRPr="00AF3227">
        <w:rPr>
          <w:rFonts w:ascii="Arial" w:hAnsi="Arial" w:cs="Arial"/>
          <w:sz w:val="20"/>
          <w:szCs w:val="20"/>
          <w:lang w:val="en-GB"/>
        </w:rPr>
        <w:fldChar w:fldCharType="end"/>
      </w:r>
      <w:r w:rsidR="00F17071" w:rsidRPr="00AF3227">
        <w:rPr>
          <w:rFonts w:ascii="Arial" w:hAnsi="Arial" w:cs="Arial"/>
          <w:sz w:val="20"/>
          <w:szCs w:val="20"/>
          <w:lang w:val="en-GB"/>
        </w:rPr>
        <w:t xml:space="preserve">. </w:t>
      </w:r>
    </w:p>
    <w:p w14:paraId="00D1A1A7" w14:textId="03B2C39E" w:rsidR="00C54426" w:rsidRPr="00F17071" w:rsidRDefault="00AB411F" w:rsidP="005B51BE">
      <w:pPr>
        <w:numPr>
          <w:ilvl w:val="0"/>
          <w:numId w:val="24"/>
        </w:numPr>
        <w:jc w:val="both"/>
        <w:rPr>
          <w:rFonts w:ascii="Arial" w:hAnsi="Arial" w:cs="Arial"/>
          <w:sz w:val="20"/>
          <w:szCs w:val="20"/>
          <w:lang w:val="en-GB"/>
        </w:rPr>
      </w:pPr>
      <w:r>
        <w:rPr>
          <w:b/>
          <w:i/>
          <w:sz w:val="20"/>
          <w:szCs w:val="20"/>
          <w:lang w:val="en-GB"/>
        </w:rPr>
        <w:lastRenderedPageBreak/>
        <w:t xml:space="preserve">At medium to </w:t>
      </w:r>
      <w:r w:rsidR="00A75202">
        <w:rPr>
          <w:b/>
          <w:i/>
          <w:sz w:val="20"/>
          <w:szCs w:val="20"/>
        </w:rPr>
        <w:t>high coupling loss situations</w:t>
      </w:r>
      <w:r w:rsidR="00F17071" w:rsidRPr="00F17071">
        <w:rPr>
          <w:b/>
          <w:i/>
          <w:sz w:val="20"/>
          <w:szCs w:val="20"/>
        </w:rPr>
        <w:t>, using small bandwidth, i.e., using sub-PRB allocation, the throughput of a UE can be kept the same</w:t>
      </w:r>
      <w:r w:rsidR="00A75202">
        <w:rPr>
          <w:b/>
          <w:i/>
          <w:sz w:val="20"/>
          <w:szCs w:val="20"/>
        </w:rPr>
        <w:t xml:space="preserve"> as using 1 PRB</w:t>
      </w:r>
      <w:r w:rsidR="00F17071" w:rsidRPr="00F17071">
        <w:rPr>
          <w:b/>
          <w:i/>
          <w:sz w:val="20"/>
          <w:szCs w:val="20"/>
        </w:rPr>
        <w:t xml:space="preserve">, while more UEs can be multiplexed at the same time. Therefore, the total UL capacity and throughput can be improved. </w:t>
      </w:r>
    </w:p>
    <w:p w14:paraId="761DAB34" w14:textId="0372B0E2" w:rsidR="000B6F24" w:rsidRDefault="000B6F24" w:rsidP="000F6FF5">
      <w:pPr>
        <w:jc w:val="both"/>
        <w:rPr>
          <w:rFonts w:ascii="Arial" w:hAnsi="Arial" w:cs="Arial"/>
          <w:sz w:val="20"/>
          <w:szCs w:val="20"/>
          <w:lang w:val="en-GB"/>
        </w:rPr>
      </w:pPr>
    </w:p>
    <w:p w14:paraId="60812459" w14:textId="77777777" w:rsidR="00A75202" w:rsidRDefault="00A75202" w:rsidP="00A75202">
      <w:pPr>
        <w:keepNext/>
        <w:jc w:val="center"/>
      </w:pPr>
      <w:r w:rsidRPr="00A75202">
        <w:rPr>
          <w:rFonts w:ascii="Arial" w:hAnsi="Arial" w:cs="Arial"/>
          <w:noProof/>
          <w:sz w:val="20"/>
          <w:szCs w:val="20"/>
          <w:lang w:val="sv-SE" w:eastAsia="sv-SE"/>
        </w:rPr>
        <w:drawing>
          <wp:inline distT="0" distB="0" distL="0" distR="0" wp14:anchorId="3F90BA09" wp14:editId="64434A2F">
            <wp:extent cx="4062338" cy="3657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3386" t="4587" r="6380"/>
                    <a:stretch/>
                  </pic:blipFill>
                  <pic:spPr bwMode="auto">
                    <a:xfrm>
                      <a:off x="0" y="0"/>
                      <a:ext cx="4062338" cy="3657600"/>
                    </a:xfrm>
                    <a:prstGeom prst="rect">
                      <a:avLst/>
                    </a:prstGeom>
                    <a:noFill/>
                    <a:ln>
                      <a:noFill/>
                    </a:ln>
                    <a:extLst>
                      <a:ext uri="{53640926-AAD7-44D8-BBD7-CCE9431645EC}">
                        <a14:shadowObscured xmlns:a14="http://schemas.microsoft.com/office/drawing/2010/main"/>
                      </a:ext>
                    </a:extLst>
                  </pic:spPr>
                </pic:pic>
              </a:graphicData>
            </a:graphic>
          </wp:inline>
        </w:drawing>
      </w:r>
    </w:p>
    <w:p w14:paraId="61F88998" w14:textId="66B9067B" w:rsidR="000A3BCF" w:rsidRDefault="00A75202" w:rsidP="00A75202">
      <w:pPr>
        <w:pStyle w:val="Caption"/>
        <w:jc w:val="center"/>
        <w:rPr>
          <w:rFonts w:ascii="Arial" w:hAnsi="Arial" w:cs="Arial"/>
        </w:rPr>
      </w:pPr>
      <w:bookmarkStart w:id="3" w:name="_Ref478144338"/>
      <w:r w:rsidRPr="00A75202">
        <w:rPr>
          <w:rFonts w:ascii="Arial" w:hAnsi="Arial" w:cs="Arial"/>
        </w:rPr>
        <w:t xml:space="preserve">Figure </w:t>
      </w:r>
      <w:r w:rsidRPr="00A75202">
        <w:rPr>
          <w:rFonts w:ascii="Arial" w:hAnsi="Arial" w:cs="Arial"/>
        </w:rPr>
        <w:fldChar w:fldCharType="begin"/>
      </w:r>
      <w:r w:rsidRPr="00A75202">
        <w:rPr>
          <w:rFonts w:ascii="Arial" w:hAnsi="Arial" w:cs="Arial"/>
        </w:rPr>
        <w:instrText xml:space="preserve"> SEQ Figure \* ARABIC </w:instrText>
      </w:r>
      <w:r w:rsidRPr="00A75202">
        <w:rPr>
          <w:rFonts w:ascii="Arial" w:hAnsi="Arial" w:cs="Arial"/>
        </w:rPr>
        <w:fldChar w:fldCharType="separate"/>
      </w:r>
      <w:r w:rsidR="00E826D0">
        <w:rPr>
          <w:rFonts w:ascii="Arial" w:hAnsi="Arial" w:cs="Arial"/>
          <w:noProof/>
        </w:rPr>
        <w:t>1</w:t>
      </w:r>
      <w:r w:rsidRPr="00A75202">
        <w:rPr>
          <w:rFonts w:ascii="Arial" w:hAnsi="Arial" w:cs="Arial"/>
        </w:rPr>
        <w:fldChar w:fldCharType="end"/>
      </w:r>
      <w:bookmarkEnd w:id="3"/>
      <w:r w:rsidR="00AF3227">
        <w:rPr>
          <w:rFonts w:ascii="Arial" w:hAnsi="Arial" w:cs="Arial"/>
        </w:rPr>
        <w:t>:</w:t>
      </w:r>
      <w:r w:rsidRPr="00A75202">
        <w:rPr>
          <w:rFonts w:ascii="Arial" w:hAnsi="Arial" w:cs="Arial"/>
        </w:rPr>
        <w:t xml:space="preserve"> Throughput per UE of using different number of subcarriers vs coupling loss</w:t>
      </w:r>
      <w:r w:rsidR="00486624">
        <w:rPr>
          <w:rFonts w:ascii="Arial" w:hAnsi="Arial" w:cs="Arial"/>
        </w:rPr>
        <w:t>, with low number of repetitions</w:t>
      </w:r>
    </w:p>
    <w:p w14:paraId="31A4C559" w14:textId="77777777" w:rsidR="00486624" w:rsidRDefault="00486624" w:rsidP="00486624">
      <w:pPr>
        <w:keepNext/>
        <w:jc w:val="center"/>
      </w:pPr>
      <w:r w:rsidRPr="00486624">
        <w:rPr>
          <w:noProof/>
          <w:lang w:val="sv-SE" w:eastAsia="sv-SE"/>
        </w:rPr>
        <w:drawing>
          <wp:inline distT="0" distB="0" distL="0" distR="0" wp14:anchorId="6CF092FA" wp14:editId="425A28DB">
            <wp:extent cx="4200059" cy="3657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l="5593" t="5945" r="6890" b="2363"/>
                    <a:stretch/>
                  </pic:blipFill>
                  <pic:spPr bwMode="auto">
                    <a:xfrm>
                      <a:off x="0" y="0"/>
                      <a:ext cx="4200059" cy="3657600"/>
                    </a:xfrm>
                    <a:prstGeom prst="rect">
                      <a:avLst/>
                    </a:prstGeom>
                    <a:noFill/>
                    <a:ln>
                      <a:noFill/>
                    </a:ln>
                    <a:extLst>
                      <a:ext uri="{53640926-AAD7-44D8-BBD7-CCE9431645EC}">
                        <a14:shadowObscured xmlns:a14="http://schemas.microsoft.com/office/drawing/2010/main"/>
                      </a:ext>
                    </a:extLst>
                  </pic:spPr>
                </pic:pic>
              </a:graphicData>
            </a:graphic>
          </wp:inline>
        </w:drawing>
      </w:r>
    </w:p>
    <w:p w14:paraId="0F0EAE73" w14:textId="147F53EF" w:rsidR="00486624" w:rsidRPr="00486624" w:rsidRDefault="00486624" w:rsidP="00486624">
      <w:pPr>
        <w:pStyle w:val="Caption"/>
        <w:jc w:val="center"/>
        <w:rPr>
          <w:rFonts w:ascii="Arial" w:hAnsi="Arial" w:cs="Arial"/>
        </w:rPr>
      </w:pPr>
      <w:bookmarkStart w:id="4" w:name="_Ref478144346"/>
      <w:r w:rsidRPr="00486624">
        <w:rPr>
          <w:rFonts w:ascii="Arial" w:hAnsi="Arial" w:cs="Arial"/>
        </w:rPr>
        <w:t xml:space="preserve">Figure </w:t>
      </w:r>
      <w:r w:rsidRPr="00486624">
        <w:rPr>
          <w:rFonts w:ascii="Arial" w:hAnsi="Arial" w:cs="Arial"/>
        </w:rPr>
        <w:fldChar w:fldCharType="begin"/>
      </w:r>
      <w:r w:rsidRPr="00486624">
        <w:rPr>
          <w:rFonts w:ascii="Arial" w:hAnsi="Arial" w:cs="Arial"/>
        </w:rPr>
        <w:instrText xml:space="preserve"> SEQ Figure \* ARABIC </w:instrText>
      </w:r>
      <w:r w:rsidRPr="00486624">
        <w:rPr>
          <w:rFonts w:ascii="Arial" w:hAnsi="Arial" w:cs="Arial"/>
        </w:rPr>
        <w:fldChar w:fldCharType="separate"/>
      </w:r>
      <w:r w:rsidR="00E826D0">
        <w:rPr>
          <w:rFonts w:ascii="Arial" w:hAnsi="Arial" w:cs="Arial"/>
          <w:noProof/>
        </w:rPr>
        <w:t>2</w:t>
      </w:r>
      <w:r w:rsidRPr="00486624">
        <w:rPr>
          <w:rFonts w:ascii="Arial" w:hAnsi="Arial" w:cs="Arial"/>
        </w:rPr>
        <w:fldChar w:fldCharType="end"/>
      </w:r>
      <w:bookmarkEnd w:id="4"/>
      <w:r>
        <w:rPr>
          <w:rFonts w:ascii="Arial" w:hAnsi="Arial" w:cs="Arial"/>
        </w:rPr>
        <w:t>:</w:t>
      </w:r>
      <w:r w:rsidRPr="00486624">
        <w:rPr>
          <w:rFonts w:ascii="Arial" w:hAnsi="Arial" w:cs="Arial"/>
        </w:rPr>
        <w:t xml:space="preserve"> Throughput per UE of using different number of subcarriers vs coupling loss, with high number of repetitions</w:t>
      </w:r>
    </w:p>
    <w:p w14:paraId="5AA23F91" w14:textId="77777777" w:rsidR="00A75202" w:rsidRPr="00A75202" w:rsidRDefault="00A75202" w:rsidP="00A75202"/>
    <w:p w14:paraId="57B38B42" w14:textId="77777777" w:rsidR="000A3BCF" w:rsidRDefault="000B6F24" w:rsidP="000A3BCF">
      <w:pPr>
        <w:keepNext/>
        <w:jc w:val="both"/>
      </w:pPr>
      <w:r>
        <w:object w:dxaOrig="11250" w:dyaOrig="4755" w14:anchorId="3DE4B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2.5pt" o:ole="">
            <v:imagedata r:id="rId10" o:title=""/>
          </v:shape>
          <o:OLEObject Type="Embed" ProgID="Visio.Drawing.15" ShapeID="_x0000_i1025" DrawAspect="Content" ObjectID="_1551887784" r:id="rId11"/>
        </w:object>
      </w:r>
    </w:p>
    <w:p w14:paraId="65BF1712" w14:textId="58B1D7EF" w:rsidR="000B6F24" w:rsidRDefault="000A3BCF" w:rsidP="000A3BCF">
      <w:pPr>
        <w:pStyle w:val="Caption"/>
        <w:jc w:val="center"/>
        <w:rPr>
          <w:rFonts w:ascii="Arial" w:hAnsi="Arial" w:cs="Arial"/>
        </w:rPr>
      </w:pPr>
      <w:bookmarkStart w:id="5" w:name="_Ref477867510"/>
      <w:bookmarkStart w:id="6" w:name="_Ref477867502"/>
      <w:r w:rsidRPr="000A3BCF">
        <w:rPr>
          <w:rFonts w:ascii="Arial" w:hAnsi="Arial" w:cs="Arial"/>
        </w:rPr>
        <w:t xml:space="preserve">Figure </w:t>
      </w:r>
      <w:r w:rsidRPr="000A3BCF">
        <w:rPr>
          <w:rFonts w:ascii="Arial" w:hAnsi="Arial" w:cs="Arial"/>
        </w:rPr>
        <w:fldChar w:fldCharType="begin"/>
      </w:r>
      <w:r w:rsidRPr="000A3BCF">
        <w:rPr>
          <w:rFonts w:ascii="Arial" w:hAnsi="Arial" w:cs="Arial"/>
        </w:rPr>
        <w:instrText xml:space="preserve"> SEQ Figure \* ARABIC </w:instrText>
      </w:r>
      <w:r w:rsidRPr="000A3BCF">
        <w:rPr>
          <w:rFonts w:ascii="Arial" w:hAnsi="Arial" w:cs="Arial"/>
        </w:rPr>
        <w:fldChar w:fldCharType="separate"/>
      </w:r>
      <w:r w:rsidR="00E826D0">
        <w:rPr>
          <w:rFonts w:ascii="Arial" w:hAnsi="Arial" w:cs="Arial"/>
          <w:noProof/>
        </w:rPr>
        <w:t>3</w:t>
      </w:r>
      <w:r w:rsidRPr="000A3BCF">
        <w:rPr>
          <w:rFonts w:ascii="Arial" w:hAnsi="Arial" w:cs="Arial"/>
        </w:rPr>
        <w:fldChar w:fldCharType="end"/>
      </w:r>
      <w:bookmarkEnd w:id="5"/>
      <w:r w:rsidR="00AF3227">
        <w:rPr>
          <w:rFonts w:ascii="Arial" w:hAnsi="Arial" w:cs="Arial"/>
        </w:rPr>
        <w:t xml:space="preserve">: </w:t>
      </w:r>
      <w:r w:rsidRPr="000A3BCF">
        <w:rPr>
          <w:rFonts w:ascii="Arial" w:hAnsi="Arial" w:cs="Arial"/>
        </w:rPr>
        <w:t>Sub-PRB UE multiplexing example</w:t>
      </w:r>
      <w:bookmarkEnd w:id="6"/>
    </w:p>
    <w:p w14:paraId="1E1A7F89" w14:textId="6B5DFF33" w:rsidR="006C2928" w:rsidRDefault="006C2928" w:rsidP="006C2928">
      <w:pPr>
        <w:jc w:val="both"/>
        <w:rPr>
          <w:rFonts w:ascii="Arial" w:hAnsi="Arial" w:cs="Arial"/>
          <w:sz w:val="20"/>
          <w:szCs w:val="20"/>
        </w:rPr>
      </w:pPr>
      <w:r>
        <w:rPr>
          <w:rFonts w:ascii="Arial" w:hAnsi="Arial" w:cs="Arial"/>
          <w:sz w:val="20"/>
          <w:szCs w:val="20"/>
        </w:rPr>
        <w:t xml:space="preserve">As pointed out in </w:t>
      </w:r>
      <w:r>
        <w:rPr>
          <w:rFonts w:ascii="Arial" w:hAnsi="Arial" w:cs="Arial"/>
          <w:sz w:val="20"/>
          <w:szCs w:val="20"/>
        </w:rPr>
        <w:fldChar w:fldCharType="begin"/>
      </w:r>
      <w:r>
        <w:rPr>
          <w:rFonts w:ascii="Arial" w:hAnsi="Arial" w:cs="Arial"/>
          <w:sz w:val="20"/>
          <w:szCs w:val="20"/>
        </w:rPr>
        <w:instrText xml:space="preserve"> REF _Ref477871024 \r \h </w:instrText>
      </w:r>
      <w:r>
        <w:rPr>
          <w:rFonts w:ascii="Arial" w:hAnsi="Arial" w:cs="Arial"/>
          <w:sz w:val="20"/>
          <w:szCs w:val="20"/>
        </w:rPr>
      </w:r>
      <w:r>
        <w:rPr>
          <w:rFonts w:ascii="Arial" w:hAnsi="Arial" w:cs="Arial"/>
          <w:sz w:val="20"/>
          <w:szCs w:val="20"/>
        </w:rPr>
        <w:fldChar w:fldCharType="separate"/>
      </w:r>
      <w:r w:rsidR="00E826D0">
        <w:rPr>
          <w:rFonts w:ascii="Arial" w:hAnsi="Arial" w:cs="Arial"/>
          <w:sz w:val="20"/>
          <w:szCs w:val="20"/>
        </w:rPr>
        <w:t>[3]</w:t>
      </w:r>
      <w:r>
        <w:rPr>
          <w:rFonts w:ascii="Arial" w:hAnsi="Arial" w:cs="Arial"/>
          <w:sz w:val="20"/>
          <w:szCs w:val="20"/>
        </w:rPr>
        <w:fldChar w:fldCharType="end"/>
      </w:r>
      <w:r w:rsidR="008A4710">
        <w:rPr>
          <w:rFonts w:ascii="Arial" w:hAnsi="Arial" w:cs="Arial"/>
          <w:sz w:val="20"/>
          <w:szCs w:val="20"/>
        </w:rPr>
        <w:t xml:space="preserve">, another benefit of using sub-PRB resource allocation is </w:t>
      </w:r>
      <w:r w:rsidR="00E679EB">
        <w:rPr>
          <w:rFonts w:ascii="Arial" w:hAnsi="Arial" w:cs="Arial"/>
          <w:sz w:val="20"/>
          <w:szCs w:val="20"/>
        </w:rPr>
        <w:t>to improve the power amplifier efficiency</w:t>
      </w:r>
      <w:r>
        <w:rPr>
          <w:rFonts w:ascii="Arial" w:hAnsi="Arial" w:cs="Arial"/>
          <w:sz w:val="20"/>
          <w:szCs w:val="20"/>
        </w:rPr>
        <w:t xml:space="preserve"> (PAE)</w:t>
      </w:r>
      <w:r w:rsidR="00E679EB">
        <w:rPr>
          <w:rFonts w:ascii="Arial" w:hAnsi="Arial" w:cs="Arial"/>
          <w:sz w:val="20"/>
          <w:szCs w:val="20"/>
        </w:rPr>
        <w:t xml:space="preserve"> because of the reduction of PAPR. </w:t>
      </w:r>
      <w:r>
        <w:rPr>
          <w:rFonts w:ascii="Arial" w:hAnsi="Arial" w:cs="Arial"/>
          <w:sz w:val="20"/>
          <w:szCs w:val="20"/>
        </w:rPr>
        <w:t xml:space="preserve">As an example, if there is a 25% improvement of PAE, when the PA is at full power, an improvement of 19% in total UE power can be expected. This would reduce the rate at which a battery discharges, which can prolong the battery life </w:t>
      </w:r>
      <w:r>
        <w:rPr>
          <w:rFonts w:ascii="Arial" w:hAnsi="Arial" w:cs="Arial"/>
          <w:sz w:val="20"/>
          <w:szCs w:val="20"/>
        </w:rPr>
        <w:fldChar w:fldCharType="begin"/>
      </w:r>
      <w:r>
        <w:rPr>
          <w:rFonts w:ascii="Arial" w:hAnsi="Arial" w:cs="Arial"/>
          <w:sz w:val="20"/>
          <w:szCs w:val="20"/>
        </w:rPr>
        <w:instrText xml:space="preserve"> REF _Ref477871033 \r \h </w:instrText>
      </w:r>
      <w:r>
        <w:rPr>
          <w:rFonts w:ascii="Arial" w:hAnsi="Arial" w:cs="Arial"/>
          <w:sz w:val="20"/>
          <w:szCs w:val="20"/>
        </w:rPr>
      </w:r>
      <w:r>
        <w:rPr>
          <w:rFonts w:ascii="Arial" w:hAnsi="Arial" w:cs="Arial"/>
          <w:sz w:val="20"/>
          <w:szCs w:val="20"/>
        </w:rPr>
        <w:fldChar w:fldCharType="separate"/>
      </w:r>
      <w:r w:rsidR="00E826D0">
        <w:rPr>
          <w:rFonts w:ascii="Arial" w:hAnsi="Arial" w:cs="Arial"/>
          <w:sz w:val="20"/>
          <w:szCs w:val="20"/>
        </w:rPr>
        <w:t>[4]</w:t>
      </w:r>
      <w:r>
        <w:rPr>
          <w:rFonts w:ascii="Arial" w:hAnsi="Arial" w:cs="Arial"/>
          <w:sz w:val="20"/>
          <w:szCs w:val="20"/>
        </w:rPr>
        <w:fldChar w:fldCharType="end"/>
      </w:r>
      <w:r>
        <w:rPr>
          <w:rFonts w:ascii="Arial" w:hAnsi="Arial" w:cs="Arial"/>
          <w:sz w:val="20"/>
          <w:szCs w:val="20"/>
        </w:rPr>
        <w:t xml:space="preserve">. </w:t>
      </w:r>
    </w:p>
    <w:p w14:paraId="45492CB2" w14:textId="033AE99F" w:rsidR="008A4710" w:rsidRPr="00486412" w:rsidRDefault="006C2928" w:rsidP="009C45E8">
      <w:pPr>
        <w:numPr>
          <w:ilvl w:val="0"/>
          <w:numId w:val="24"/>
        </w:numPr>
        <w:jc w:val="both"/>
        <w:rPr>
          <w:rFonts w:ascii="Arial" w:hAnsi="Arial" w:cs="Arial"/>
          <w:sz w:val="20"/>
          <w:szCs w:val="20"/>
          <w:lang w:val="en-GB"/>
        </w:rPr>
      </w:pPr>
      <w:r w:rsidRPr="006C2928">
        <w:rPr>
          <w:b/>
          <w:i/>
          <w:sz w:val="20"/>
          <w:szCs w:val="20"/>
        </w:rPr>
        <w:t xml:space="preserve">UE battery life can be improved when employing sub-PRB due to improvement of PAE. </w:t>
      </w:r>
    </w:p>
    <w:p w14:paraId="1C6D82A1" w14:textId="3CD546FE" w:rsidR="00D0025C" w:rsidRPr="00E330BC" w:rsidRDefault="008B5CAA" w:rsidP="00040C32">
      <w:pPr>
        <w:pStyle w:val="Heading1"/>
      </w:pPr>
      <w:r>
        <w:t>Conclusions</w:t>
      </w:r>
    </w:p>
    <w:p w14:paraId="3CFB9438" w14:textId="4805FD32" w:rsidR="009F15B1" w:rsidRDefault="009F15B1" w:rsidP="008B5CAA">
      <w:pPr>
        <w:pStyle w:val="Heading1"/>
        <w:numPr>
          <w:ilvl w:val="0"/>
          <w:numId w:val="0"/>
        </w:numPr>
        <w:rPr>
          <w:bCs w:val="0"/>
          <w:sz w:val="20"/>
          <w:szCs w:val="20"/>
        </w:rPr>
      </w:pPr>
      <w:r w:rsidRPr="009F15B1">
        <w:rPr>
          <w:bCs w:val="0"/>
          <w:sz w:val="20"/>
          <w:szCs w:val="20"/>
        </w:rPr>
        <w:t xml:space="preserve">Base on the </w:t>
      </w:r>
      <w:r>
        <w:rPr>
          <w:bCs w:val="0"/>
          <w:sz w:val="20"/>
          <w:szCs w:val="20"/>
        </w:rPr>
        <w:t xml:space="preserve">above analysis and </w:t>
      </w:r>
      <w:r w:rsidRPr="009F15B1">
        <w:rPr>
          <w:bCs w:val="0"/>
          <w:sz w:val="20"/>
          <w:szCs w:val="20"/>
        </w:rPr>
        <w:t>discussions, we have the</w:t>
      </w:r>
      <w:r w:rsidR="00A75202">
        <w:rPr>
          <w:bCs w:val="0"/>
          <w:sz w:val="20"/>
          <w:szCs w:val="20"/>
        </w:rPr>
        <w:t xml:space="preserve"> following observations</w:t>
      </w:r>
      <w:r>
        <w:rPr>
          <w:bCs w:val="0"/>
          <w:sz w:val="20"/>
          <w:szCs w:val="20"/>
        </w:rPr>
        <w:t>:</w:t>
      </w:r>
    </w:p>
    <w:p w14:paraId="1FA81B22" w14:textId="34C32C13" w:rsidR="00AF3227" w:rsidRPr="00F17071" w:rsidRDefault="00AB411F" w:rsidP="00AF3227">
      <w:pPr>
        <w:numPr>
          <w:ilvl w:val="0"/>
          <w:numId w:val="36"/>
        </w:numPr>
        <w:jc w:val="both"/>
        <w:rPr>
          <w:rFonts w:ascii="Arial" w:hAnsi="Arial" w:cs="Arial"/>
          <w:sz w:val="20"/>
          <w:szCs w:val="20"/>
          <w:lang w:val="en-GB"/>
        </w:rPr>
      </w:pPr>
      <w:r>
        <w:rPr>
          <w:b/>
          <w:i/>
          <w:sz w:val="20"/>
          <w:szCs w:val="20"/>
          <w:lang w:val="en-GB"/>
        </w:rPr>
        <w:t xml:space="preserve">At medium to high </w:t>
      </w:r>
      <w:r w:rsidR="00AF3227">
        <w:rPr>
          <w:b/>
          <w:i/>
          <w:sz w:val="20"/>
          <w:szCs w:val="20"/>
        </w:rPr>
        <w:t>coupling loss situations</w:t>
      </w:r>
      <w:r w:rsidR="00AF3227" w:rsidRPr="00F17071">
        <w:rPr>
          <w:b/>
          <w:i/>
          <w:sz w:val="20"/>
          <w:szCs w:val="20"/>
        </w:rPr>
        <w:t>, using small bandwidth, i.e., using sub-PRB allocation, the throughput of a UE can be kept the same</w:t>
      </w:r>
      <w:r w:rsidR="00AF3227">
        <w:rPr>
          <w:b/>
          <w:i/>
          <w:sz w:val="20"/>
          <w:szCs w:val="20"/>
        </w:rPr>
        <w:t xml:space="preserve"> as using 1 PRB</w:t>
      </w:r>
      <w:r w:rsidR="00AF3227" w:rsidRPr="00F17071">
        <w:rPr>
          <w:b/>
          <w:i/>
          <w:sz w:val="20"/>
          <w:szCs w:val="20"/>
        </w:rPr>
        <w:t xml:space="preserve">, while more UEs can be multiplexed at the same time. Therefore, the total UL capacity and throughput can be improved. </w:t>
      </w:r>
    </w:p>
    <w:p w14:paraId="18B9F7CF" w14:textId="77777777" w:rsidR="00AF3227" w:rsidRPr="00486412" w:rsidRDefault="00AF3227" w:rsidP="00AF3227">
      <w:pPr>
        <w:numPr>
          <w:ilvl w:val="0"/>
          <w:numId w:val="36"/>
        </w:numPr>
        <w:jc w:val="both"/>
        <w:rPr>
          <w:rFonts w:ascii="Arial" w:hAnsi="Arial" w:cs="Arial"/>
          <w:sz w:val="20"/>
          <w:szCs w:val="20"/>
          <w:lang w:val="en-GB"/>
        </w:rPr>
      </w:pPr>
      <w:r w:rsidRPr="006C2928">
        <w:rPr>
          <w:b/>
          <w:i/>
          <w:sz w:val="20"/>
          <w:szCs w:val="20"/>
        </w:rPr>
        <w:t xml:space="preserve">UE battery life can be improved when employing sub-PRB due to improvement of PAE. </w:t>
      </w:r>
    </w:p>
    <w:p w14:paraId="1943BE1C" w14:textId="77777777" w:rsidR="00D0025C" w:rsidRPr="00040C32" w:rsidRDefault="00D0025C" w:rsidP="009F15B1">
      <w:pPr>
        <w:pStyle w:val="Heading1"/>
      </w:pPr>
      <w:r w:rsidRPr="00040C32">
        <w:t>References</w:t>
      </w:r>
    </w:p>
    <w:p w14:paraId="70C8CB0F" w14:textId="3A9BBE46" w:rsidR="00E6086E" w:rsidRDefault="002E69EE" w:rsidP="002E69EE">
      <w:pPr>
        <w:pStyle w:val="ListParagraph"/>
        <w:numPr>
          <w:ilvl w:val="0"/>
          <w:numId w:val="10"/>
        </w:numPr>
        <w:rPr>
          <w:rFonts w:eastAsia="MS Mincho" w:cs="Arial"/>
          <w:lang w:val="en-US" w:eastAsia="ja-JP"/>
        </w:rPr>
      </w:pPr>
      <w:bookmarkStart w:id="7" w:name="_Ref477871238"/>
      <w:r w:rsidRPr="002E69EE">
        <w:rPr>
          <w:rFonts w:eastAsia="MS Mincho" w:cs="Arial"/>
          <w:lang w:val="en-US" w:eastAsia="ja-JP"/>
        </w:rPr>
        <w:t>RP-170732, “New WI on Even further enhanced MTC for LTE”</w:t>
      </w:r>
      <w:r w:rsidR="008A4710">
        <w:rPr>
          <w:rFonts w:eastAsia="MS Mincho" w:cs="Arial"/>
          <w:lang w:val="en-US" w:eastAsia="ja-JP"/>
        </w:rPr>
        <w:t>.</w:t>
      </w:r>
      <w:bookmarkEnd w:id="7"/>
    </w:p>
    <w:p w14:paraId="22DB5349" w14:textId="55999647" w:rsidR="000B6F24" w:rsidRDefault="000B6F24" w:rsidP="000B6F24">
      <w:pPr>
        <w:pStyle w:val="ListParagraph"/>
        <w:numPr>
          <w:ilvl w:val="0"/>
          <w:numId w:val="10"/>
        </w:numPr>
        <w:rPr>
          <w:rFonts w:eastAsia="MS Mincho" w:cs="Arial"/>
          <w:lang w:val="en-US" w:eastAsia="ja-JP"/>
        </w:rPr>
      </w:pPr>
      <w:bookmarkStart w:id="8" w:name="_Ref477866921"/>
      <w:r w:rsidRPr="000B6F24">
        <w:rPr>
          <w:rFonts w:eastAsia="MS Mincho" w:cs="Arial"/>
          <w:lang w:val="en-US" w:eastAsia="ja-JP"/>
        </w:rPr>
        <w:t>R1-</w:t>
      </w:r>
      <w:r w:rsidR="00C867F0" w:rsidRPr="000B6F24">
        <w:rPr>
          <w:rFonts w:eastAsia="MS Mincho" w:cs="Arial"/>
          <w:lang w:val="en-US" w:eastAsia="ja-JP"/>
        </w:rPr>
        <w:t>151309</w:t>
      </w:r>
      <w:r w:rsidR="00C867F0">
        <w:rPr>
          <w:rFonts w:eastAsia="MS Mincho" w:cs="Arial"/>
          <w:lang w:val="en-US" w:eastAsia="ja-JP"/>
        </w:rPr>
        <w:t>,</w:t>
      </w:r>
      <w:r w:rsidR="00C867F0" w:rsidRPr="000B6F24">
        <w:rPr>
          <w:rFonts w:eastAsia="MS Mincho" w:cs="Arial"/>
          <w:lang w:val="en-US" w:eastAsia="ja-JP"/>
        </w:rPr>
        <w:t xml:space="preserve"> “</w:t>
      </w:r>
      <w:r w:rsidRPr="000B6F24">
        <w:rPr>
          <w:rFonts w:eastAsia="MS Mincho" w:cs="Arial"/>
          <w:lang w:val="en-US" w:eastAsia="ja-JP"/>
        </w:rPr>
        <w:t>PUSCH Coverage Enhancement Techniques”, Nokia Networks</w:t>
      </w:r>
      <w:bookmarkEnd w:id="8"/>
      <w:r w:rsidR="008A4710">
        <w:rPr>
          <w:rFonts w:eastAsia="MS Mincho" w:cs="Arial"/>
          <w:lang w:val="en-US" w:eastAsia="ja-JP"/>
        </w:rPr>
        <w:t xml:space="preserve">. </w:t>
      </w:r>
    </w:p>
    <w:p w14:paraId="022ADB69" w14:textId="75FEAED5" w:rsidR="008A4710" w:rsidRDefault="008A4710" w:rsidP="008A4710">
      <w:pPr>
        <w:pStyle w:val="ListParagraph"/>
        <w:numPr>
          <w:ilvl w:val="0"/>
          <w:numId w:val="10"/>
        </w:numPr>
        <w:rPr>
          <w:rFonts w:eastAsia="MS Mincho" w:cs="Arial"/>
          <w:lang w:val="en-US" w:eastAsia="ja-JP"/>
        </w:rPr>
      </w:pPr>
      <w:bookmarkStart w:id="9" w:name="_Ref477871024"/>
      <w:r w:rsidRPr="008A4710">
        <w:rPr>
          <w:rFonts w:eastAsia="MS Mincho" w:cs="Arial"/>
          <w:lang w:val="en-US" w:eastAsia="ja-JP"/>
        </w:rPr>
        <w:t>R1-166679</w:t>
      </w:r>
      <w:r>
        <w:rPr>
          <w:rFonts w:eastAsia="MS Mincho" w:cs="Arial"/>
          <w:lang w:val="en-US" w:eastAsia="ja-JP"/>
        </w:rPr>
        <w:t>, “</w:t>
      </w:r>
      <w:r w:rsidRPr="008A4710">
        <w:rPr>
          <w:rFonts w:eastAsia="MS Mincho" w:cs="Arial"/>
          <w:lang w:val="en-US" w:eastAsia="ja-JP"/>
        </w:rPr>
        <w:t>Sub-PRB Method to Improve UL Coverage, Capacity, and Battery Life for VoLTE</w:t>
      </w:r>
      <w:r>
        <w:rPr>
          <w:rFonts w:eastAsia="MS Mincho" w:cs="Arial"/>
          <w:lang w:val="en-US" w:eastAsia="ja-JP"/>
        </w:rPr>
        <w:t xml:space="preserve">”, source </w:t>
      </w:r>
      <w:r w:rsidRPr="008A4710">
        <w:rPr>
          <w:rFonts w:eastAsia="MS Mincho" w:cs="Arial"/>
          <w:lang w:val="en-US" w:eastAsia="ja-JP"/>
        </w:rPr>
        <w:t>Sierra Wireless, Sony</w:t>
      </w:r>
      <w:r>
        <w:rPr>
          <w:rFonts w:eastAsia="MS Mincho" w:cs="Arial"/>
          <w:lang w:val="en-US" w:eastAsia="ja-JP"/>
        </w:rPr>
        <w:t xml:space="preserve">, </w:t>
      </w:r>
      <w:r w:rsidRPr="008A4710">
        <w:rPr>
          <w:rFonts w:eastAsia="MS Mincho" w:cs="Arial"/>
          <w:lang w:val="en-US" w:eastAsia="ja-JP"/>
        </w:rPr>
        <w:t>Gothenburg, Sweden 22nd - 26th August 2016</w:t>
      </w:r>
      <w:r>
        <w:rPr>
          <w:rFonts w:eastAsia="MS Mincho" w:cs="Arial"/>
          <w:lang w:val="en-US" w:eastAsia="ja-JP"/>
        </w:rPr>
        <w:t>.</w:t>
      </w:r>
      <w:bookmarkEnd w:id="9"/>
      <w:r>
        <w:rPr>
          <w:rFonts w:eastAsia="MS Mincho" w:cs="Arial"/>
          <w:lang w:val="en-US" w:eastAsia="ja-JP"/>
        </w:rPr>
        <w:t xml:space="preserve"> </w:t>
      </w:r>
    </w:p>
    <w:p w14:paraId="23C39049" w14:textId="75845278" w:rsidR="008A4710" w:rsidRDefault="008A4710" w:rsidP="008A4710">
      <w:pPr>
        <w:pStyle w:val="ListParagraph"/>
        <w:numPr>
          <w:ilvl w:val="0"/>
          <w:numId w:val="10"/>
        </w:numPr>
        <w:rPr>
          <w:rFonts w:eastAsia="MS Mincho" w:cs="Arial"/>
          <w:lang w:val="en-US" w:eastAsia="ja-JP"/>
        </w:rPr>
      </w:pPr>
      <w:bookmarkStart w:id="10" w:name="_Ref477871033"/>
      <w:r w:rsidRPr="008A4710">
        <w:rPr>
          <w:rFonts w:eastAsia="MS Mincho" w:cs="Arial"/>
          <w:lang w:val="en-US" w:eastAsia="ja-JP"/>
        </w:rPr>
        <w:t xml:space="preserve">R1-145016, “Battery Technology Impacts on Maximum UE Transmit Power for MTC”, </w:t>
      </w:r>
      <w:r w:rsidR="002C042E">
        <w:rPr>
          <w:rFonts w:eastAsia="MS Mincho" w:cs="Arial"/>
          <w:lang w:val="en-US" w:eastAsia="ja-JP"/>
        </w:rPr>
        <w:t xml:space="preserve">source </w:t>
      </w:r>
      <w:r w:rsidR="002C042E" w:rsidRPr="008A4710">
        <w:rPr>
          <w:rFonts w:eastAsia="MS Mincho" w:cs="Arial"/>
          <w:lang w:val="en-US" w:eastAsia="ja-JP"/>
        </w:rPr>
        <w:t>Sony</w:t>
      </w:r>
      <w:r w:rsidR="002C042E">
        <w:rPr>
          <w:rFonts w:eastAsia="MS Mincho" w:cs="Arial"/>
          <w:lang w:val="en-US" w:eastAsia="ja-JP"/>
        </w:rPr>
        <w:t>,</w:t>
      </w:r>
      <w:r w:rsidR="002C042E" w:rsidRPr="008A4710">
        <w:rPr>
          <w:rFonts w:eastAsia="MS Mincho" w:cs="Arial"/>
          <w:lang w:val="en-US" w:eastAsia="ja-JP"/>
        </w:rPr>
        <w:t xml:space="preserve"> </w:t>
      </w:r>
      <w:r w:rsidRPr="008A4710">
        <w:rPr>
          <w:rFonts w:eastAsia="MS Mincho" w:cs="Arial"/>
          <w:lang w:val="en-US" w:eastAsia="ja-JP"/>
        </w:rPr>
        <w:t>RAN1#79, San Francisco, USA. 17-21 November 2014.</w:t>
      </w:r>
      <w:bookmarkEnd w:id="10"/>
      <w:r w:rsidRPr="008A4710">
        <w:rPr>
          <w:rFonts w:eastAsia="MS Mincho" w:cs="Arial"/>
          <w:lang w:val="en-US" w:eastAsia="ja-JP"/>
        </w:rPr>
        <w:t xml:space="preserve"> </w:t>
      </w:r>
    </w:p>
    <w:p w14:paraId="4A629639" w14:textId="11DE0D87" w:rsidR="002155BE" w:rsidRPr="00C87666" w:rsidRDefault="00AF3227" w:rsidP="002155BE">
      <w:pPr>
        <w:pStyle w:val="Heading1"/>
        <w:numPr>
          <w:ilvl w:val="0"/>
          <w:numId w:val="0"/>
        </w:numPr>
        <w:ind w:left="432" w:hanging="432"/>
      </w:pPr>
      <w:bookmarkStart w:id="11" w:name="_Ref419403672"/>
      <w:r>
        <w:t>Annex: PUSCH s</w:t>
      </w:r>
      <w:r w:rsidR="002155BE">
        <w:t xml:space="preserve">imulation </w:t>
      </w:r>
      <w:bookmarkEnd w:id="11"/>
      <w:r>
        <w:t>p</w:t>
      </w:r>
      <w:r w:rsidR="002155BE">
        <w:t>arameters</w:t>
      </w:r>
    </w:p>
    <w:p w14:paraId="4329E565" w14:textId="77777777" w:rsidR="002155BE" w:rsidRDefault="002155BE" w:rsidP="002155BE">
      <w:pPr>
        <w:pStyle w:val="references"/>
        <w:numPr>
          <w:ilvl w:val="0"/>
          <w:numId w:val="0"/>
        </w:numPr>
        <w:ind w:left="360" w:hanging="360"/>
        <w:rPr>
          <w:szCs w:val="20"/>
        </w:rPr>
      </w:pPr>
    </w:p>
    <w:tbl>
      <w:tblPr>
        <w:tblStyle w:val="TableGrid"/>
        <w:tblW w:w="0" w:type="auto"/>
        <w:tblLook w:val="04A0" w:firstRow="1" w:lastRow="0" w:firstColumn="1" w:lastColumn="0" w:noHBand="0" w:noVBand="1"/>
      </w:tblPr>
      <w:tblGrid>
        <w:gridCol w:w="4811"/>
        <w:gridCol w:w="4809"/>
      </w:tblGrid>
      <w:tr w:rsidR="00843FFC" w14:paraId="53E76F1B" w14:textId="77777777" w:rsidTr="00843FFC">
        <w:trPr>
          <w:trHeight w:val="397"/>
        </w:trPr>
        <w:tc>
          <w:tcPr>
            <w:tcW w:w="4919" w:type="dxa"/>
            <w:hideMark/>
          </w:tcPr>
          <w:p w14:paraId="5CDCC3F9" w14:textId="77777777" w:rsidR="00843FFC" w:rsidRDefault="00843FFC">
            <w:pPr>
              <w:jc w:val="center"/>
              <w:rPr>
                <w:rFonts w:ascii="Arial" w:hAnsi="Arial" w:cs="Arial"/>
                <w:b/>
                <w:bCs/>
                <w:sz w:val="20"/>
                <w:szCs w:val="20"/>
                <w:lang w:eastAsia="zh-CN"/>
              </w:rPr>
            </w:pPr>
            <w:r>
              <w:rPr>
                <w:rFonts w:ascii="Arial" w:hAnsi="Arial" w:cs="Arial"/>
                <w:b/>
                <w:bCs/>
                <w:sz w:val="20"/>
                <w:szCs w:val="20"/>
              </w:rPr>
              <w:t>Parameter</w:t>
            </w:r>
          </w:p>
        </w:tc>
        <w:tc>
          <w:tcPr>
            <w:tcW w:w="4919" w:type="dxa"/>
            <w:hideMark/>
          </w:tcPr>
          <w:p w14:paraId="1C5715AE" w14:textId="77777777" w:rsidR="00843FFC" w:rsidRDefault="00843FFC">
            <w:pPr>
              <w:jc w:val="center"/>
              <w:rPr>
                <w:rFonts w:ascii="Arial" w:hAnsi="Arial" w:cs="Arial"/>
                <w:b/>
                <w:bCs/>
                <w:sz w:val="20"/>
                <w:szCs w:val="20"/>
              </w:rPr>
            </w:pPr>
            <w:r>
              <w:rPr>
                <w:rFonts w:ascii="Arial" w:hAnsi="Arial" w:cs="Arial"/>
                <w:b/>
                <w:bCs/>
                <w:sz w:val="20"/>
                <w:szCs w:val="20"/>
              </w:rPr>
              <w:t>Value</w:t>
            </w:r>
          </w:p>
        </w:tc>
      </w:tr>
      <w:tr w:rsidR="00843FFC" w14:paraId="3F46C61D" w14:textId="77777777" w:rsidTr="00843FFC">
        <w:trPr>
          <w:trHeight w:val="397"/>
        </w:trPr>
        <w:tc>
          <w:tcPr>
            <w:tcW w:w="4919" w:type="dxa"/>
            <w:hideMark/>
          </w:tcPr>
          <w:p w14:paraId="709E2FCE" w14:textId="77777777" w:rsidR="00843FFC" w:rsidRPr="00843FFC" w:rsidRDefault="00843FFC">
            <w:pPr>
              <w:jc w:val="center"/>
              <w:rPr>
                <w:rFonts w:ascii="Arial" w:hAnsi="Arial" w:cs="Arial"/>
                <w:sz w:val="20"/>
                <w:szCs w:val="20"/>
              </w:rPr>
            </w:pPr>
            <w:r w:rsidRPr="00843FFC">
              <w:rPr>
                <w:rFonts w:ascii="Arial" w:hAnsi="Arial" w:cs="Arial"/>
                <w:sz w:val="20"/>
                <w:szCs w:val="20"/>
              </w:rPr>
              <w:t>Carrier Frequency</w:t>
            </w:r>
          </w:p>
        </w:tc>
        <w:tc>
          <w:tcPr>
            <w:tcW w:w="4919" w:type="dxa"/>
            <w:hideMark/>
          </w:tcPr>
          <w:p w14:paraId="7F9CD93C" w14:textId="77777777" w:rsidR="00843FFC" w:rsidRPr="00843FFC" w:rsidRDefault="00843FFC">
            <w:pPr>
              <w:jc w:val="center"/>
              <w:rPr>
                <w:rFonts w:ascii="Arial" w:hAnsi="Arial" w:cs="Arial"/>
                <w:sz w:val="20"/>
                <w:szCs w:val="20"/>
              </w:rPr>
            </w:pPr>
            <w:r w:rsidRPr="00843FFC">
              <w:rPr>
                <w:rFonts w:ascii="Arial" w:hAnsi="Arial" w:cs="Arial"/>
                <w:sz w:val="20"/>
                <w:szCs w:val="20"/>
              </w:rPr>
              <w:t>900 MHz</w:t>
            </w:r>
          </w:p>
        </w:tc>
      </w:tr>
      <w:tr w:rsidR="00843FFC" w14:paraId="0767E19E" w14:textId="77777777" w:rsidTr="00843FFC">
        <w:trPr>
          <w:trHeight w:val="397"/>
        </w:trPr>
        <w:tc>
          <w:tcPr>
            <w:tcW w:w="4919" w:type="dxa"/>
            <w:hideMark/>
          </w:tcPr>
          <w:p w14:paraId="192B0EFE" w14:textId="77777777" w:rsidR="00843FFC" w:rsidRPr="00843FFC" w:rsidRDefault="00843FFC">
            <w:pPr>
              <w:jc w:val="center"/>
              <w:rPr>
                <w:rFonts w:ascii="Arial" w:hAnsi="Arial" w:cs="Arial"/>
                <w:sz w:val="20"/>
                <w:szCs w:val="20"/>
              </w:rPr>
            </w:pPr>
            <w:r w:rsidRPr="00843FFC">
              <w:rPr>
                <w:rFonts w:ascii="Arial" w:hAnsi="Arial" w:cs="Arial"/>
                <w:sz w:val="20"/>
                <w:szCs w:val="20"/>
              </w:rPr>
              <w:t>System Bandwidth</w:t>
            </w:r>
          </w:p>
        </w:tc>
        <w:tc>
          <w:tcPr>
            <w:tcW w:w="4919" w:type="dxa"/>
            <w:hideMark/>
          </w:tcPr>
          <w:p w14:paraId="23EAF28D" w14:textId="1BFD9860" w:rsidR="00843FFC" w:rsidRPr="00843FFC" w:rsidRDefault="00AF3227">
            <w:pPr>
              <w:jc w:val="center"/>
              <w:rPr>
                <w:rFonts w:ascii="Arial" w:hAnsi="Arial" w:cs="Arial"/>
                <w:sz w:val="20"/>
                <w:szCs w:val="20"/>
              </w:rPr>
            </w:pPr>
            <w:r>
              <w:rPr>
                <w:rFonts w:ascii="Arial" w:hAnsi="Arial" w:cs="Arial"/>
                <w:sz w:val="20"/>
                <w:szCs w:val="20"/>
              </w:rPr>
              <w:t>Any</w:t>
            </w:r>
          </w:p>
        </w:tc>
      </w:tr>
      <w:tr w:rsidR="00843FFC" w14:paraId="1AA2CB97" w14:textId="77777777" w:rsidTr="00843FFC">
        <w:trPr>
          <w:trHeight w:val="397"/>
        </w:trPr>
        <w:tc>
          <w:tcPr>
            <w:tcW w:w="4919" w:type="dxa"/>
            <w:hideMark/>
          </w:tcPr>
          <w:p w14:paraId="37472E6F" w14:textId="77777777" w:rsidR="00843FFC" w:rsidRPr="00843FFC" w:rsidRDefault="00843FFC">
            <w:pPr>
              <w:jc w:val="center"/>
              <w:rPr>
                <w:rFonts w:ascii="Arial" w:hAnsi="Arial" w:cs="Arial"/>
                <w:sz w:val="20"/>
                <w:szCs w:val="20"/>
              </w:rPr>
            </w:pPr>
            <w:r w:rsidRPr="00843FFC">
              <w:rPr>
                <w:rFonts w:ascii="Arial" w:hAnsi="Arial" w:cs="Arial"/>
                <w:sz w:val="20"/>
                <w:szCs w:val="20"/>
              </w:rPr>
              <w:t>Antenna</w:t>
            </w:r>
          </w:p>
        </w:tc>
        <w:tc>
          <w:tcPr>
            <w:tcW w:w="4919" w:type="dxa"/>
            <w:hideMark/>
          </w:tcPr>
          <w:p w14:paraId="40CD2F77" w14:textId="77777777" w:rsidR="00843FFC" w:rsidRPr="00843FFC" w:rsidRDefault="00843FFC">
            <w:pPr>
              <w:jc w:val="center"/>
              <w:rPr>
                <w:rFonts w:ascii="Arial" w:hAnsi="Arial" w:cs="Arial"/>
                <w:sz w:val="20"/>
                <w:szCs w:val="20"/>
              </w:rPr>
            </w:pPr>
            <w:r w:rsidRPr="00843FFC">
              <w:rPr>
                <w:rFonts w:ascii="Arial" w:hAnsi="Arial" w:cs="Arial"/>
                <w:sz w:val="20"/>
                <w:szCs w:val="20"/>
              </w:rPr>
              <w:t>1×2, low correlation</w:t>
            </w:r>
          </w:p>
        </w:tc>
      </w:tr>
      <w:tr w:rsidR="00843FFC" w14:paraId="72AADFB3" w14:textId="77777777" w:rsidTr="00843FFC">
        <w:trPr>
          <w:trHeight w:val="397"/>
        </w:trPr>
        <w:tc>
          <w:tcPr>
            <w:tcW w:w="4919" w:type="dxa"/>
            <w:hideMark/>
          </w:tcPr>
          <w:p w14:paraId="72690DC9" w14:textId="77777777" w:rsidR="00843FFC" w:rsidRPr="00843FFC" w:rsidRDefault="00843FFC">
            <w:pPr>
              <w:jc w:val="center"/>
              <w:rPr>
                <w:rFonts w:ascii="Arial" w:hAnsi="Arial" w:cs="Arial"/>
                <w:sz w:val="20"/>
                <w:szCs w:val="20"/>
              </w:rPr>
            </w:pPr>
            <w:r w:rsidRPr="00843FFC">
              <w:rPr>
                <w:rFonts w:ascii="Arial" w:hAnsi="Arial" w:cs="Arial"/>
                <w:sz w:val="20"/>
                <w:szCs w:val="20"/>
              </w:rPr>
              <w:lastRenderedPageBreak/>
              <w:t>Channel Model</w:t>
            </w:r>
          </w:p>
        </w:tc>
        <w:tc>
          <w:tcPr>
            <w:tcW w:w="4919" w:type="dxa"/>
            <w:hideMark/>
          </w:tcPr>
          <w:p w14:paraId="4342BF1F" w14:textId="77777777" w:rsidR="00843FFC" w:rsidRPr="00843FFC" w:rsidRDefault="00843FFC">
            <w:pPr>
              <w:jc w:val="center"/>
              <w:rPr>
                <w:rFonts w:ascii="Arial" w:hAnsi="Arial" w:cs="Arial"/>
                <w:sz w:val="20"/>
                <w:szCs w:val="20"/>
              </w:rPr>
            </w:pPr>
            <w:r w:rsidRPr="00843FFC">
              <w:rPr>
                <w:rFonts w:ascii="Arial" w:hAnsi="Arial" w:cs="Arial"/>
                <w:sz w:val="20"/>
                <w:szCs w:val="20"/>
              </w:rPr>
              <w:t>TU, 1 Hz Doppler</w:t>
            </w:r>
          </w:p>
        </w:tc>
      </w:tr>
      <w:tr w:rsidR="00843FFC" w14:paraId="3E11AF5C" w14:textId="77777777" w:rsidTr="00843FFC">
        <w:trPr>
          <w:trHeight w:val="397"/>
        </w:trPr>
        <w:tc>
          <w:tcPr>
            <w:tcW w:w="4919" w:type="dxa"/>
            <w:hideMark/>
          </w:tcPr>
          <w:p w14:paraId="2054D542" w14:textId="77777777" w:rsidR="00843FFC" w:rsidRPr="00843FFC" w:rsidRDefault="00843FFC">
            <w:pPr>
              <w:jc w:val="center"/>
              <w:rPr>
                <w:rFonts w:ascii="Arial" w:hAnsi="Arial" w:cs="Arial"/>
                <w:sz w:val="20"/>
                <w:szCs w:val="20"/>
              </w:rPr>
            </w:pPr>
            <w:r w:rsidRPr="00843FFC">
              <w:rPr>
                <w:rFonts w:ascii="Arial" w:hAnsi="Arial" w:cs="Arial"/>
                <w:sz w:val="20"/>
                <w:szCs w:val="20"/>
              </w:rPr>
              <w:t>Carrier Frequency Offset</w:t>
            </w:r>
          </w:p>
        </w:tc>
        <w:tc>
          <w:tcPr>
            <w:tcW w:w="4919" w:type="dxa"/>
            <w:hideMark/>
          </w:tcPr>
          <w:p w14:paraId="718608EF" w14:textId="77777777" w:rsidR="00843FFC" w:rsidRPr="00843FFC" w:rsidRDefault="00843FFC">
            <w:pPr>
              <w:jc w:val="center"/>
              <w:rPr>
                <w:rFonts w:ascii="Arial" w:hAnsi="Arial" w:cs="Arial"/>
                <w:sz w:val="20"/>
                <w:szCs w:val="20"/>
              </w:rPr>
            </w:pPr>
            <w:r w:rsidRPr="00843FFC">
              <w:rPr>
                <w:rFonts w:ascii="Arial" w:hAnsi="Arial" w:cs="Arial"/>
                <w:sz w:val="20"/>
                <w:szCs w:val="20"/>
              </w:rPr>
              <w:t>25 Hz</w:t>
            </w:r>
          </w:p>
        </w:tc>
      </w:tr>
      <w:tr w:rsidR="00843FFC" w14:paraId="6CF0BA5C" w14:textId="77777777" w:rsidTr="00843FFC">
        <w:trPr>
          <w:trHeight w:val="397"/>
        </w:trPr>
        <w:tc>
          <w:tcPr>
            <w:tcW w:w="4919" w:type="dxa"/>
            <w:hideMark/>
          </w:tcPr>
          <w:p w14:paraId="4781440C" w14:textId="77777777" w:rsidR="00843FFC" w:rsidRPr="00843FFC" w:rsidRDefault="00843FFC">
            <w:pPr>
              <w:jc w:val="center"/>
              <w:rPr>
                <w:rFonts w:ascii="Arial" w:hAnsi="Arial" w:cs="Arial"/>
                <w:sz w:val="20"/>
                <w:szCs w:val="20"/>
              </w:rPr>
            </w:pPr>
            <w:r w:rsidRPr="00843FFC">
              <w:rPr>
                <w:rFonts w:ascii="Arial" w:hAnsi="Arial" w:cs="Arial"/>
                <w:sz w:val="20"/>
                <w:szCs w:val="20"/>
              </w:rPr>
              <w:t>TBS</w:t>
            </w:r>
          </w:p>
        </w:tc>
        <w:tc>
          <w:tcPr>
            <w:tcW w:w="4919" w:type="dxa"/>
            <w:hideMark/>
          </w:tcPr>
          <w:p w14:paraId="451C6237" w14:textId="76A36915" w:rsidR="00843FFC" w:rsidRPr="00843FFC" w:rsidRDefault="00843FFC">
            <w:pPr>
              <w:jc w:val="center"/>
              <w:rPr>
                <w:rFonts w:ascii="Arial" w:hAnsi="Arial" w:cs="Arial"/>
                <w:sz w:val="20"/>
                <w:szCs w:val="20"/>
              </w:rPr>
            </w:pPr>
            <w:r w:rsidRPr="00843FFC">
              <w:rPr>
                <w:rFonts w:ascii="Arial" w:hAnsi="Arial" w:cs="Arial"/>
                <w:sz w:val="20"/>
                <w:szCs w:val="20"/>
              </w:rPr>
              <w:t>72</w:t>
            </w:r>
            <w:r w:rsidR="00AF3227">
              <w:rPr>
                <w:rFonts w:ascii="Arial" w:hAnsi="Arial" w:cs="Arial"/>
                <w:sz w:val="20"/>
                <w:szCs w:val="20"/>
              </w:rPr>
              <w:t xml:space="preserve"> bits</w:t>
            </w:r>
          </w:p>
        </w:tc>
      </w:tr>
      <w:tr w:rsidR="00843FFC" w14:paraId="61DE7BD1" w14:textId="77777777" w:rsidTr="00843FFC">
        <w:trPr>
          <w:trHeight w:val="397"/>
        </w:trPr>
        <w:tc>
          <w:tcPr>
            <w:tcW w:w="4919" w:type="dxa"/>
            <w:hideMark/>
          </w:tcPr>
          <w:p w14:paraId="6A2A4837" w14:textId="1B2A2A4A" w:rsidR="00843FFC" w:rsidRPr="00843FFC" w:rsidRDefault="00843FFC">
            <w:pPr>
              <w:jc w:val="center"/>
              <w:rPr>
                <w:rFonts w:ascii="Arial" w:hAnsi="Arial" w:cs="Arial"/>
                <w:sz w:val="20"/>
                <w:szCs w:val="20"/>
              </w:rPr>
            </w:pPr>
            <w:r w:rsidRPr="00843FFC">
              <w:rPr>
                <w:rFonts w:ascii="Arial" w:hAnsi="Arial" w:cs="Arial"/>
                <w:sz w:val="20"/>
                <w:szCs w:val="20"/>
              </w:rPr>
              <w:t xml:space="preserve">Cross-SF channel </w:t>
            </w:r>
            <w:r w:rsidR="009C37C7">
              <w:rPr>
                <w:rFonts w:ascii="Arial" w:hAnsi="Arial" w:cs="Arial"/>
                <w:sz w:val="20"/>
                <w:szCs w:val="20"/>
              </w:rPr>
              <w:t>estimation</w:t>
            </w:r>
            <w:r w:rsidR="00AF3227">
              <w:rPr>
                <w:rFonts w:ascii="Arial" w:hAnsi="Arial" w:cs="Arial"/>
                <w:sz w:val="20"/>
                <w:szCs w:val="20"/>
              </w:rPr>
              <w:t xml:space="preserve"> filter length</w:t>
            </w:r>
          </w:p>
        </w:tc>
        <w:tc>
          <w:tcPr>
            <w:tcW w:w="4919" w:type="dxa"/>
            <w:hideMark/>
          </w:tcPr>
          <w:p w14:paraId="73215C4A" w14:textId="77777777" w:rsidR="00843FFC" w:rsidRPr="00843FFC" w:rsidRDefault="00843FFC">
            <w:pPr>
              <w:jc w:val="center"/>
              <w:rPr>
                <w:rFonts w:ascii="Arial" w:hAnsi="Arial" w:cs="Arial"/>
                <w:sz w:val="20"/>
                <w:szCs w:val="20"/>
              </w:rPr>
            </w:pPr>
            <w:r w:rsidRPr="00843FFC">
              <w:rPr>
                <w:rFonts w:ascii="Arial" w:hAnsi="Arial" w:cs="Arial"/>
                <w:sz w:val="20"/>
                <w:szCs w:val="20"/>
              </w:rPr>
              <w:t>4 ms</w:t>
            </w:r>
          </w:p>
        </w:tc>
      </w:tr>
      <w:tr w:rsidR="00843FFC" w14:paraId="45B36B25" w14:textId="77777777" w:rsidTr="00843FFC">
        <w:trPr>
          <w:trHeight w:val="397"/>
        </w:trPr>
        <w:tc>
          <w:tcPr>
            <w:tcW w:w="4919" w:type="dxa"/>
            <w:hideMark/>
          </w:tcPr>
          <w:p w14:paraId="2F40E15C" w14:textId="77777777" w:rsidR="00843FFC" w:rsidRPr="00843FFC" w:rsidRDefault="00843FFC">
            <w:pPr>
              <w:jc w:val="center"/>
              <w:rPr>
                <w:rFonts w:ascii="Arial" w:hAnsi="Arial" w:cs="Arial"/>
                <w:sz w:val="20"/>
                <w:szCs w:val="20"/>
              </w:rPr>
            </w:pPr>
            <w:r w:rsidRPr="00843FFC">
              <w:rPr>
                <w:rFonts w:ascii="Arial" w:hAnsi="Arial" w:cs="Arial"/>
                <w:sz w:val="20"/>
                <w:szCs w:val="20"/>
              </w:rPr>
              <w:t>Frequency hop bandwidth</w:t>
            </w:r>
          </w:p>
        </w:tc>
        <w:tc>
          <w:tcPr>
            <w:tcW w:w="4919" w:type="dxa"/>
            <w:hideMark/>
          </w:tcPr>
          <w:p w14:paraId="6712577E" w14:textId="77777777" w:rsidR="00843FFC" w:rsidRPr="00843FFC" w:rsidRDefault="00843FFC">
            <w:pPr>
              <w:jc w:val="center"/>
              <w:rPr>
                <w:rFonts w:ascii="Arial" w:hAnsi="Arial" w:cs="Arial"/>
                <w:sz w:val="20"/>
                <w:szCs w:val="20"/>
              </w:rPr>
            </w:pPr>
            <w:r w:rsidRPr="00843FFC">
              <w:rPr>
                <w:rFonts w:ascii="Arial" w:hAnsi="Arial" w:cs="Arial"/>
                <w:sz w:val="20"/>
                <w:szCs w:val="20"/>
              </w:rPr>
              <w:t>No FH</w:t>
            </w:r>
          </w:p>
        </w:tc>
      </w:tr>
    </w:tbl>
    <w:p w14:paraId="705CAF3D" w14:textId="215D2CE7" w:rsidR="002155BE" w:rsidRPr="002E69EE" w:rsidRDefault="002155BE" w:rsidP="002155BE"/>
    <w:sectPr w:rsidR="002155BE" w:rsidRPr="002E69EE" w:rsidSect="008F64CA">
      <w:headerReference w:type="default" r:id="rId12"/>
      <w:footerReference w:type="default" r:id="rId13"/>
      <w:headerReference w:type="first" r:id="rId14"/>
      <w:footerReference w:type="first" r:id="rId15"/>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9B3119" w14:textId="77777777" w:rsidR="00E17C94" w:rsidRDefault="00E17C94">
      <w:pPr>
        <w:spacing w:after="0"/>
      </w:pPr>
      <w:r>
        <w:separator/>
      </w:r>
    </w:p>
  </w:endnote>
  <w:endnote w:type="continuationSeparator" w:id="0">
    <w:p w14:paraId="1976F653" w14:textId="77777777" w:rsidR="00E17C94" w:rsidRDefault="00E17C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8B3B0" w14:textId="67F44243" w:rsidR="009F2576" w:rsidRDefault="009F2576">
    <w:pPr>
      <w:pStyle w:val="Footer"/>
      <w:ind w:right="-1521"/>
    </w:pPr>
    <w:r>
      <w:rPr>
        <w:rStyle w:val="PageNumber"/>
      </w:rPr>
      <w:fldChar w:fldCharType="begin"/>
    </w:r>
    <w:r>
      <w:rPr>
        <w:rStyle w:val="PageNumber"/>
      </w:rPr>
      <w:instrText xml:space="preserve"> PAGE </w:instrText>
    </w:r>
    <w:r>
      <w:rPr>
        <w:rStyle w:val="PageNumber"/>
      </w:rPr>
      <w:fldChar w:fldCharType="separate"/>
    </w:r>
    <w:r w:rsidR="00E826D0">
      <w:rPr>
        <w:rStyle w:val="PageNumber"/>
      </w:rPr>
      <w:t>4</w:t>
    </w:r>
    <w:r>
      <w:rPr>
        <w:rStyle w:val="PageNumber"/>
      </w:rPr>
      <w:fldChar w:fldCharType="end"/>
    </w:r>
    <w:bookmarkStart w:id="1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E826D0">
      <w:rPr>
        <w:rStyle w:val="PageNumber"/>
      </w:rPr>
      <w:t>4</w:t>
    </w:r>
    <w:r>
      <w:rPr>
        <w:rStyle w:val="PageNumber"/>
      </w:rPr>
      <w:fldChar w:fldCharType="end"/>
    </w:r>
    <w:r>
      <w:rPr>
        <w:rStyle w:val="PageNumber"/>
      </w:rPr>
      <w:t>)</w:t>
    </w:r>
    <w:bookmarkEnd w:id="12"/>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5E1D9" w14:textId="3342C3E4" w:rsidR="009F2576" w:rsidRDefault="009F2576">
    <w:pPr>
      <w:pStyle w:val="Footer"/>
    </w:pPr>
    <w:r>
      <w:rPr>
        <w:rStyle w:val="PageNumber"/>
      </w:rPr>
      <w:fldChar w:fldCharType="begin"/>
    </w:r>
    <w:r>
      <w:rPr>
        <w:rStyle w:val="PageNumber"/>
      </w:rPr>
      <w:instrText xml:space="preserve"> PAGE </w:instrText>
    </w:r>
    <w:r>
      <w:rPr>
        <w:rStyle w:val="PageNumber"/>
      </w:rPr>
      <w:fldChar w:fldCharType="separate"/>
    </w:r>
    <w:r w:rsidR="00E826D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826D0">
      <w:rPr>
        <w:rStyle w:val="PageNumber"/>
      </w:rPr>
      <w:t>4</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86B0F" w14:textId="77777777" w:rsidR="00E17C94" w:rsidRDefault="00E17C94">
      <w:pPr>
        <w:spacing w:after="0"/>
      </w:pPr>
      <w:r>
        <w:separator/>
      </w:r>
    </w:p>
  </w:footnote>
  <w:footnote w:type="continuationSeparator" w:id="0">
    <w:p w14:paraId="4A1EF618" w14:textId="77777777" w:rsidR="00E17C94" w:rsidRDefault="00E17C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38474" w14:textId="77777777" w:rsidR="009F2576" w:rsidRPr="006A0FC7" w:rsidRDefault="009F2576" w:rsidP="008F64CA">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81BE5" w14:textId="77777777" w:rsidR="009F2576" w:rsidRPr="00BF30DA" w:rsidRDefault="009F2576"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FD265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6"/>
        </w:tabs>
        <w:ind w:left="6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9D5627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E81181"/>
    <w:multiLevelType w:val="hybridMultilevel"/>
    <w:tmpl w:val="0B840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D82C7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cs="Times New Roman" w:hint="default"/>
      </w:rPr>
    </w:lvl>
    <w:lvl w:ilvl="1" w:tplc="5B3EB83C">
      <w:start w:val="677"/>
      <w:numFmt w:val="bullet"/>
      <w:lvlText w:val="–"/>
      <w:lvlJc w:val="left"/>
      <w:pPr>
        <w:tabs>
          <w:tab w:val="num" w:pos="1440"/>
        </w:tabs>
        <w:ind w:left="1440" w:hanging="360"/>
      </w:pPr>
      <w:rPr>
        <w:rFonts w:ascii="Arial" w:hAnsi="Arial" w:cs="Times New Roman" w:hint="default"/>
      </w:rPr>
    </w:lvl>
    <w:lvl w:ilvl="2" w:tplc="6B8415B0">
      <w:start w:val="677"/>
      <w:numFmt w:val="bullet"/>
      <w:lvlText w:val="•"/>
      <w:lvlJc w:val="left"/>
      <w:pPr>
        <w:tabs>
          <w:tab w:val="num" w:pos="2160"/>
        </w:tabs>
        <w:ind w:left="2160" w:hanging="360"/>
      </w:pPr>
      <w:rPr>
        <w:rFonts w:ascii="Arial" w:hAnsi="Arial" w:cs="Times New Roman" w:hint="default"/>
      </w:rPr>
    </w:lvl>
    <w:lvl w:ilvl="3" w:tplc="5DF27C5C">
      <w:start w:val="1"/>
      <w:numFmt w:val="bullet"/>
      <w:lvlText w:val="•"/>
      <w:lvlJc w:val="left"/>
      <w:pPr>
        <w:tabs>
          <w:tab w:val="num" w:pos="2880"/>
        </w:tabs>
        <w:ind w:left="2880" w:hanging="360"/>
      </w:pPr>
      <w:rPr>
        <w:rFonts w:ascii="Arial" w:hAnsi="Arial" w:cs="Times New Roman" w:hint="default"/>
      </w:rPr>
    </w:lvl>
    <w:lvl w:ilvl="4" w:tplc="6ABC3DCC">
      <w:start w:val="1"/>
      <w:numFmt w:val="bullet"/>
      <w:lvlText w:val="•"/>
      <w:lvlJc w:val="left"/>
      <w:pPr>
        <w:tabs>
          <w:tab w:val="num" w:pos="3600"/>
        </w:tabs>
        <w:ind w:left="3600" w:hanging="360"/>
      </w:pPr>
      <w:rPr>
        <w:rFonts w:ascii="Arial" w:hAnsi="Arial" w:cs="Times New Roman" w:hint="default"/>
      </w:rPr>
    </w:lvl>
    <w:lvl w:ilvl="5" w:tplc="3F9A5616">
      <w:start w:val="1"/>
      <w:numFmt w:val="bullet"/>
      <w:lvlText w:val="•"/>
      <w:lvlJc w:val="left"/>
      <w:pPr>
        <w:tabs>
          <w:tab w:val="num" w:pos="4320"/>
        </w:tabs>
        <w:ind w:left="4320" w:hanging="360"/>
      </w:pPr>
      <w:rPr>
        <w:rFonts w:ascii="Arial" w:hAnsi="Arial" w:cs="Times New Roman" w:hint="default"/>
      </w:rPr>
    </w:lvl>
    <w:lvl w:ilvl="6" w:tplc="0742C094">
      <w:start w:val="1"/>
      <w:numFmt w:val="bullet"/>
      <w:lvlText w:val="•"/>
      <w:lvlJc w:val="left"/>
      <w:pPr>
        <w:tabs>
          <w:tab w:val="num" w:pos="5040"/>
        </w:tabs>
        <w:ind w:left="5040" w:hanging="360"/>
      </w:pPr>
      <w:rPr>
        <w:rFonts w:ascii="Arial" w:hAnsi="Arial" w:cs="Times New Roman" w:hint="default"/>
      </w:rPr>
    </w:lvl>
    <w:lvl w:ilvl="7" w:tplc="9912DB70">
      <w:start w:val="1"/>
      <w:numFmt w:val="bullet"/>
      <w:lvlText w:val="•"/>
      <w:lvlJc w:val="left"/>
      <w:pPr>
        <w:tabs>
          <w:tab w:val="num" w:pos="5760"/>
        </w:tabs>
        <w:ind w:left="5760" w:hanging="360"/>
      </w:pPr>
      <w:rPr>
        <w:rFonts w:ascii="Arial" w:hAnsi="Arial" w:cs="Times New Roman" w:hint="default"/>
      </w:rPr>
    </w:lvl>
    <w:lvl w:ilvl="8" w:tplc="0090DC2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8"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3" w15:restartNumberingAfterBreak="0">
    <w:nsid w:val="4705446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CB77B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2F4256B"/>
    <w:multiLevelType w:val="hybridMultilevel"/>
    <w:tmpl w:val="EED61204"/>
    <w:lvl w:ilvl="0" w:tplc="CE54233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826CE8"/>
    <w:multiLevelType w:val="hybridMultilevel"/>
    <w:tmpl w:val="AF22582C"/>
    <w:lvl w:ilvl="0" w:tplc="F066403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B34A0"/>
    <w:multiLevelType w:val="hybridMultilevel"/>
    <w:tmpl w:val="21586F90"/>
    <w:lvl w:ilvl="0" w:tplc="5E3C965C">
      <w:start w:val="1"/>
      <w:numFmt w:val="bullet"/>
      <w:lvlText w:val="–"/>
      <w:lvlJc w:val="left"/>
      <w:pPr>
        <w:tabs>
          <w:tab w:val="num" w:pos="720"/>
        </w:tabs>
        <w:ind w:left="720" w:hanging="360"/>
      </w:pPr>
      <w:rPr>
        <w:rFonts w:ascii="Ericsson Capital TT" w:hAnsi="Ericsson Capital TT" w:hint="default"/>
      </w:rPr>
    </w:lvl>
    <w:lvl w:ilvl="1" w:tplc="BA7A5E34">
      <w:start w:val="1"/>
      <w:numFmt w:val="bullet"/>
      <w:lvlText w:val="–"/>
      <w:lvlJc w:val="left"/>
      <w:pPr>
        <w:tabs>
          <w:tab w:val="num" w:pos="1440"/>
        </w:tabs>
        <w:ind w:left="1440" w:hanging="360"/>
      </w:pPr>
      <w:rPr>
        <w:rFonts w:ascii="Ericsson Capital TT" w:hAnsi="Ericsson Capital TT" w:hint="default"/>
      </w:rPr>
    </w:lvl>
    <w:lvl w:ilvl="2" w:tplc="4F166AE8" w:tentative="1">
      <w:start w:val="1"/>
      <w:numFmt w:val="bullet"/>
      <w:lvlText w:val="–"/>
      <w:lvlJc w:val="left"/>
      <w:pPr>
        <w:tabs>
          <w:tab w:val="num" w:pos="2160"/>
        </w:tabs>
        <w:ind w:left="2160" w:hanging="360"/>
      </w:pPr>
      <w:rPr>
        <w:rFonts w:ascii="Ericsson Capital TT" w:hAnsi="Ericsson Capital TT" w:hint="default"/>
      </w:rPr>
    </w:lvl>
    <w:lvl w:ilvl="3" w:tplc="D9EA9716" w:tentative="1">
      <w:start w:val="1"/>
      <w:numFmt w:val="bullet"/>
      <w:lvlText w:val="–"/>
      <w:lvlJc w:val="left"/>
      <w:pPr>
        <w:tabs>
          <w:tab w:val="num" w:pos="2880"/>
        </w:tabs>
        <w:ind w:left="2880" w:hanging="360"/>
      </w:pPr>
      <w:rPr>
        <w:rFonts w:ascii="Ericsson Capital TT" w:hAnsi="Ericsson Capital TT" w:hint="default"/>
      </w:rPr>
    </w:lvl>
    <w:lvl w:ilvl="4" w:tplc="8B8ABD72" w:tentative="1">
      <w:start w:val="1"/>
      <w:numFmt w:val="bullet"/>
      <w:lvlText w:val="–"/>
      <w:lvlJc w:val="left"/>
      <w:pPr>
        <w:tabs>
          <w:tab w:val="num" w:pos="3600"/>
        </w:tabs>
        <w:ind w:left="3600" w:hanging="360"/>
      </w:pPr>
      <w:rPr>
        <w:rFonts w:ascii="Ericsson Capital TT" w:hAnsi="Ericsson Capital TT" w:hint="default"/>
      </w:rPr>
    </w:lvl>
    <w:lvl w:ilvl="5" w:tplc="6AC2F1B2" w:tentative="1">
      <w:start w:val="1"/>
      <w:numFmt w:val="bullet"/>
      <w:lvlText w:val="–"/>
      <w:lvlJc w:val="left"/>
      <w:pPr>
        <w:tabs>
          <w:tab w:val="num" w:pos="4320"/>
        </w:tabs>
        <w:ind w:left="4320" w:hanging="360"/>
      </w:pPr>
      <w:rPr>
        <w:rFonts w:ascii="Ericsson Capital TT" w:hAnsi="Ericsson Capital TT" w:hint="default"/>
      </w:rPr>
    </w:lvl>
    <w:lvl w:ilvl="6" w:tplc="E630569A" w:tentative="1">
      <w:start w:val="1"/>
      <w:numFmt w:val="bullet"/>
      <w:lvlText w:val="–"/>
      <w:lvlJc w:val="left"/>
      <w:pPr>
        <w:tabs>
          <w:tab w:val="num" w:pos="5040"/>
        </w:tabs>
        <w:ind w:left="5040" w:hanging="360"/>
      </w:pPr>
      <w:rPr>
        <w:rFonts w:ascii="Ericsson Capital TT" w:hAnsi="Ericsson Capital TT" w:hint="default"/>
      </w:rPr>
    </w:lvl>
    <w:lvl w:ilvl="7" w:tplc="EB34DC04" w:tentative="1">
      <w:start w:val="1"/>
      <w:numFmt w:val="bullet"/>
      <w:lvlText w:val="–"/>
      <w:lvlJc w:val="left"/>
      <w:pPr>
        <w:tabs>
          <w:tab w:val="num" w:pos="5760"/>
        </w:tabs>
        <w:ind w:left="5760" w:hanging="360"/>
      </w:pPr>
      <w:rPr>
        <w:rFonts w:ascii="Ericsson Capital TT" w:hAnsi="Ericsson Capital TT" w:hint="default"/>
      </w:rPr>
    </w:lvl>
    <w:lvl w:ilvl="8" w:tplc="07861748" w:tentative="1">
      <w:start w:val="1"/>
      <w:numFmt w:val="bullet"/>
      <w:lvlText w:val="–"/>
      <w:lvlJc w:val="left"/>
      <w:pPr>
        <w:tabs>
          <w:tab w:val="num" w:pos="6480"/>
        </w:tabs>
        <w:ind w:left="6480" w:hanging="360"/>
      </w:pPr>
      <w:rPr>
        <w:rFonts w:ascii="Ericsson Capital TT" w:hAnsi="Ericsson Capital TT" w:hint="default"/>
      </w:rPr>
    </w:lvl>
  </w:abstractNum>
  <w:abstractNum w:abstractNumId="21" w15:restartNumberingAfterBreak="0">
    <w:nsid w:val="594C75F0"/>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5D1C5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D56930"/>
    <w:multiLevelType w:val="hybridMultilevel"/>
    <w:tmpl w:val="74DC8980"/>
    <w:lvl w:ilvl="0" w:tplc="04090001">
      <w:start w:val="1"/>
      <w:numFmt w:val="bullet"/>
      <w:lvlText w:val=""/>
      <w:lvlJc w:val="left"/>
      <w:pPr>
        <w:ind w:left="1701" w:hanging="360"/>
      </w:pPr>
      <w:rPr>
        <w:rFonts w:ascii="Symbol" w:hAnsi="Symbol" w:hint="default"/>
      </w:rPr>
    </w:lvl>
    <w:lvl w:ilvl="1" w:tplc="04090003" w:tentative="1">
      <w:start w:val="1"/>
      <w:numFmt w:val="bullet"/>
      <w:lvlText w:val="o"/>
      <w:lvlJc w:val="left"/>
      <w:pPr>
        <w:ind w:left="2421" w:hanging="360"/>
      </w:pPr>
      <w:rPr>
        <w:rFonts w:ascii="Courier New" w:hAnsi="Courier New" w:cs="Courier New" w:hint="default"/>
      </w:rPr>
    </w:lvl>
    <w:lvl w:ilvl="2" w:tplc="04090005" w:tentative="1">
      <w:start w:val="1"/>
      <w:numFmt w:val="bullet"/>
      <w:lvlText w:val=""/>
      <w:lvlJc w:val="left"/>
      <w:pPr>
        <w:ind w:left="3141" w:hanging="360"/>
      </w:pPr>
      <w:rPr>
        <w:rFonts w:ascii="Wingdings" w:hAnsi="Wingdings" w:hint="default"/>
      </w:rPr>
    </w:lvl>
    <w:lvl w:ilvl="3" w:tplc="04090001" w:tentative="1">
      <w:start w:val="1"/>
      <w:numFmt w:val="bullet"/>
      <w:lvlText w:val=""/>
      <w:lvlJc w:val="left"/>
      <w:pPr>
        <w:ind w:left="3861" w:hanging="360"/>
      </w:pPr>
      <w:rPr>
        <w:rFonts w:ascii="Symbol" w:hAnsi="Symbol" w:hint="default"/>
      </w:rPr>
    </w:lvl>
    <w:lvl w:ilvl="4" w:tplc="04090003" w:tentative="1">
      <w:start w:val="1"/>
      <w:numFmt w:val="bullet"/>
      <w:lvlText w:val="o"/>
      <w:lvlJc w:val="left"/>
      <w:pPr>
        <w:ind w:left="4581" w:hanging="360"/>
      </w:pPr>
      <w:rPr>
        <w:rFonts w:ascii="Courier New" w:hAnsi="Courier New" w:cs="Courier New" w:hint="default"/>
      </w:rPr>
    </w:lvl>
    <w:lvl w:ilvl="5" w:tplc="04090005" w:tentative="1">
      <w:start w:val="1"/>
      <w:numFmt w:val="bullet"/>
      <w:lvlText w:val=""/>
      <w:lvlJc w:val="left"/>
      <w:pPr>
        <w:ind w:left="5301" w:hanging="360"/>
      </w:pPr>
      <w:rPr>
        <w:rFonts w:ascii="Wingdings" w:hAnsi="Wingdings" w:hint="default"/>
      </w:rPr>
    </w:lvl>
    <w:lvl w:ilvl="6" w:tplc="04090001" w:tentative="1">
      <w:start w:val="1"/>
      <w:numFmt w:val="bullet"/>
      <w:lvlText w:val=""/>
      <w:lvlJc w:val="left"/>
      <w:pPr>
        <w:ind w:left="6021" w:hanging="360"/>
      </w:pPr>
      <w:rPr>
        <w:rFonts w:ascii="Symbol" w:hAnsi="Symbol" w:hint="default"/>
      </w:rPr>
    </w:lvl>
    <w:lvl w:ilvl="7" w:tplc="04090003" w:tentative="1">
      <w:start w:val="1"/>
      <w:numFmt w:val="bullet"/>
      <w:lvlText w:val="o"/>
      <w:lvlJc w:val="left"/>
      <w:pPr>
        <w:ind w:left="6741" w:hanging="360"/>
      </w:pPr>
      <w:rPr>
        <w:rFonts w:ascii="Courier New" w:hAnsi="Courier New" w:cs="Courier New" w:hint="default"/>
      </w:rPr>
    </w:lvl>
    <w:lvl w:ilvl="8" w:tplc="04090005" w:tentative="1">
      <w:start w:val="1"/>
      <w:numFmt w:val="bullet"/>
      <w:lvlText w:val=""/>
      <w:lvlJc w:val="left"/>
      <w:pPr>
        <w:ind w:left="7461" w:hanging="360"/>
      </w:pPr>
      <w:rPr>
        <w:rFonts w:ascii="Wingdings" w:hAnsi="Wingdings" w:hint="default"/>
      </w:rPr>
    </w:lvl>
  </w:abstractNum>
  <w:abstractNum w:abstractNumId="24"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47A5863"/>
    <w:multiLevelType w:val="hybridMultilevel"/>
    <w:tmpl w:val="E2289B7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70146DC0"/>
    <w:multiLevelType w:val="hybridMultilevel"/>
    <w:tmpl w:val="9BC21240"/>
    <w:lvl w:ilvl="0" w:tplc="B544A12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4339C6"/>
    <w:multiLevelType w:val="hybridMultilevel"/>
    <w:tmpl w:val="89866578"/>
    <w:lvl w:ilvl="0" w:tplc="E0A6DC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C23114B"/>
    <w:multiLevelType w:val="hybridMultilevel"/>
    <w:tmpl w:val="30684ADA"/>
    <w:lvl w:ilvl="0" w:tplc="A5369D2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6"/>
  </w:num>
  <w:num w:numId="4">
    <w:abstractNumId w:val="24"/>
  </w:num>
  <w:num w:numId="5">
    <w:abstractNumId w:val="8"/>
  </w:num>
  <w:num w:numId="6">
    <w:abstractNumId w:val="12"/>
  </w:num>
  <w:num w:numId="7">
    <w:abstractNumId w:val="16"/>
  </w:num>
  <w:num w:numId="8">
    <w:abstractNumId w:val="9"/>
  </w:num>
  <w:num w:numId="9">
    <w:abstractNumId w:val="26"/>
  </w:num>
  <w:num w:numId="10">
    <w:abstractNumId w:val="7"/>
  </w:num>
  <w:num w:numId="11">
    <w:abstractNumId w:val="0"/>
  </w:num>
  <w:num w:numId="12">
    <w:abstractNumId w:val="15"/>
  </w:num>
  <w:num w:numId="13">
    <w:abstractNumId w:val="19"/>
  </w:num>
  <w:num w:numId="14">
    <w:abstractNumId w:val="29"/>
  </w:num>
  <w:num w:numId="15">
    <w:abstractNumId w:val="18"/>
  </w:num>
  <w:num w:numId="16">
    <w:abstractNumId w:val="6"/>
  </w:num>
  <w:num w:numId="17">
    <w:abstractNumId w:val="31"/>
  </w:num>
  <w:num w:numId="18">
    <w:abstractNumId w:val="3"/>
  </w:num>
  <w:num w:numId="19">
    <w:abstractNumId w:val="4"/>
  </w:num>
  <w:num w:numId="20">
    <w:abstractNumId w:val="14"/>
  </w:num>
  <w:num w:numId="21">
    <w:abstractNumId w:val="22"/>
  </w:num>
  <w:num w:numId="22">
    <w:abstractNumId w:val="11"/>
  </w:num>
  <w:num w:numId="23">
    <w:abstractNumId w:val="11"/>
    <w:lvlOverride w:ilvl="0">
      <w:startOverride w:val="1"/>
    </w:lvlOverride>
  </w:num>
  <w:num w:numId="24">
    <w:abstractNumId w:val="13"/>
  </w:num>
  <w:num w:numId="25">
    <w:abstractNumId w:val="28"/>
  </w:num>
  <w:num w:numId="26">
    <w:abstractNumId w:val="23"/>
  </w:num>
  <w:num w:numId="27">
    <w:abstractNumId w:val="25"/>
  </w:num>
  <w:num w:numId="28">
    <w:abstractNumId w:val="20"/>
  </w:num>
  <w:num w:numId="29">
    <w:abstractNumId w:val="5"/>
  </w:num>
  <w:num w:numId="30">
    <w:abstractNumId w:val="2"/>
  </w:num>
  <w:num w:numId="31">
    <w:abstractNumId w:val="11"/>
    <w:lvlOverride w:ilvl="0">
      <w:startOverride w:val="1"/>
    </w:lvlOverride>
  </w:num>
  <w:num w:numId="32">
    <w:abstractNumId w:val="10"/>
  </w:num>
  <w:num w:numId="33">
    <w:abstractNumId w:val="30"/>
  </w:num>
  <w:num w:numId="34">
    <w:abstractNumId w:val="6"/>
  </w:num>
  <w:num w:numId="35">
    <w:abstractNumId w:val="17"/>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15C19"/>
    <w:rsid w:val="000246B6"/>
    <w:rsid w:val="00040C32"/>
    <w:rsid w:val="000458F1"/>
    <w:rsid w:val="00054C9C"/>
    <w:rsid w:val="00065736"/>
    <w:rsid w:val="000713E2"/>
    <w:rsid w:val="0008268B"/>
    <w:rsid w:val="00087413"/>
    <w:rsid w:val="000900F5"/>
    <w:rsid w:val="000A3BCF"/>
    <w:rsid w:val="000A3E5D"/>
    <w:rsid w:val="000A6ED3"/>
    <w:rsid w:val="000B6F24"/>
    <w:rsid w:val="000C0578"/>
    <w:rsid w:val="000C5230"/>
    <w:rsid w:val="000D6E7E"/>
    <w:rsid w:val="000E4DCC"/>
    <w:rsid w:val="000E51FE"/>
    <w:rsid w:val="000F1B6D"/>
    <w:rsid w:val="000F6FF5"/>
    <w:rsid w:val="00100216"/>
    <w:rsid w:val="00103529"/>
    <w:rsid w:val="0011133B"/>
    <w:rsid w:val="00112C00"/>
    <w:rsid w:val="0011695D"/>
    <w:rsid w:val="001173BC"/>
    <w:rsid w:val="00120F8D"/>
    <w:rsid w:val="00122163"/>
    <w:rsid w:val="0013001D"/>
    <w:rsid w:val="001421FF"/>
    <w:rsid w:val="0014525B"/>
    <w:rsid w:val="00146E22"/>
    <w:rsid w:val="001476A2"/>
    <w:rsid w:val="00153462"/>
    <w:rsid w:val="001659FB"/>
    <w:rsid w:val="00167A91"/>
    <w:rsid w:val="001824D7"/>
    <w:rsid w:val="00183C5E"/>
    <w:rsid w:val="001920C1"/>
    <w:rsid w:val="001A11A2"/>
    <w:rsid w:val="001A15F9"/>
    <w:rsid w:val="001A2FFC"/>
    <w:rsid w:val="001A52BB"/>
    <w:rsid w:val="001C2287"/>
    <w:rsid w:val="001D2761"/>
    <w:rsid w:val="001E5F69"/>
    <w:rsid w:val="001F3301"/>
    <w:rsid w:val="001F39CD"/>
    <w:rsid w:val="0020440B"/>
    <w:rsid w:val="002070CF"/>
    <w:rsid w:val="00210DE0"/>
    <w:rsid w:val="00211276"/>
    <w:rsid w:val="0021185C"/>
    <w:rsid w:val="00211A8D"/>
    <w:rsid w:val="002155BE"/>
    <w:rsid w:val="00225BDF"/>
    <w:rsid w:val="002345BF"/>
    <w:rsid w:val="002346A8"/>
    <w:rsid w:val="00243252"/>
    <w:rsid w:val="00246705"/>
    <w:rsid w:val="00250B34"/>
    <w:rsid w:val="0025283A"/>
    <w:rsid w:val="00254977"/>
    <w:rsid w:val="00260842"/>
    <w:rsid w:val="00274655"/>
    <w:rsid w:val="00286985"/>
    <w:rsid w:val="002A1C86"/>
    <w:rsid w:val="002A5F54"/>
    <w:rsid w:val="002B3029"/>
    <w:rsid w:val="002C042E"/>
    <w:rsid w:val="002C090C"/>
    <w:rsid w:val="002C3241"/>
    <w:rsid w:val="002C777A"/>
    <w:rsid w:val="002C7894"/>
    <w:rsid w:val="002E3796"/>
    <w:rsid w:val="002E6163"/>
    <w:rsid w:val="002E69EE"/>
    <w:rsid w:val="002E6E6D"/>
    <w:rsid w:val="002F0B9F"/>
    <w:rsid w:val="002F1E0C"/>
    <w:rsid w:val="002F5297"/>
    <w:rsid w:val="00302688"/>
    <w:rsid w:val="003036B0"/>
    <w:rsid w:val="00320EC5"/>
    <w:rsid w:val="003235A5"/>
    <w:rsid w:val="00327D85"/>
    <w:rsid w:val="003317F8"/>
    <w:rsid w:val="003344F3"/>
    <w:rsid w:val="00350056"/>
    <w:rsid w:val="00375808"/>
    <w:rsid w:val="00382406"/>
    <w:rsid w:val="003929FB"/>
    <w:rsid w:val="003A3526"/>
    <w:rsid w:val="003A79AB"/>
    <w:rsid w:val="003B163E"/>
    <w:rsid w:val="003C2A4E"/>
    <w:rsid w:val="003C6570"/>
    <w:rsid w:val="003D3A36"/>
    <w:rsid w:val="003E46E6"/>
    <w:rsid w:val="00400FF7"/>
    <w:rsid w:val="00406175"/>
    <w:rsid w:val="00416F72"/>
    <w:rsid w:val="004177A0"/>
    <w:rsid w:val="0042082E"/>
    <w:rsid w:val="00422A84"/>
    <w:rsid w:val="00422ABE"/>
    <w:rsid w:val="004325D0"/>
    <w:rsid w:val="004559E5"/>
    <w:rsid w:val="00473761"/>
    <w:rsid w:val="004769BB"/>
    <w:rsid w:val="00481C6D"/>
    <w:rsid w:val="00486412"/>
    <w:rsid w:val="00486624"/>
    <w:rsid w:val="00487384"/>
    <w:rsid w:val="004901C7"/>
    <w:rsid w:val="00492325"/>
    <w:rsid w:val="00494FD0"/>
    <w:rsid w:val="004B16A3"/>
    <w:rsid w:val="004B2104"/>
    <w:rsid w:val="004B5641"/>
    <w:rsid w:val="004C5C00"/>
    <w:rsid w:val="004E25C1"/>
    <w:rsid w:val="004F1A79"/>
    <w:rsid w:val="004F42FB"/>
    <w:rsid w:val="004F6D7B"/>
    <w:rsid w:val="00502083"/>
    <w:rsid w:val="00503F5F"/>
    <w:rsid w:val="00506846"/>
    <w:rsid w:val="00532A6A"/>
    <w:rsid w:val="0054204E"/>
    <w:rsid w:val="00542E85"/>
    <w:rsid w:val="00551443"/>
    <w:rsid w:val="00551E65"/>
    <w:rsid w:val="00552672"/>
    <w:rsid w:val="005549B8"/>
    <w:rsid w:val="005549D7"/>
    <w:rsid w:val="00560A00"/>
    <w:rsid w:val="00562747"/>
    <w:rsid w:val="00567905"/>
    <w:rsid w:val="00570629"/>
    <w:rsid w:val="00574782"/>
    <w:rsid w:val="00585A8F"/>
    <w:rsid w:val="00587BFF"/>
    <w:rsid w:val="00590754"/>
    <w:rsid w:val="005A2136"/>
    <w:rsid w:val="005B43FF"/>
    <w:rsid w:val="005B7FD3"/>
    <w:rsid w:val="005C1045"/>
    <w:rsid w:val="005C43AF"/>
    <w:rsid w:val="005D0804"/>
    <w:rsid w:val="005D2421"/>
    <w:rsid w:val="005D7A30"/>
    <w:rsid w:val="005D7EAB"/>
    <w:rsid w:val="005E71E5"/>
    <w:rsid w:val="005F1BF9"/>
    <w:rsid w:val="005F2340"/>
    <w:rsid w:val="005F50CF"/>
    <w:rsid w:val="006040BD"/>
    <w:rsid w:val="00611E08"/>
    <w:rsid w:val="00616BF7"/>
    <w:rsid w:val="00631B7D"/>
    <w:rsid w:val="006336FE"/>
    <w:rsid w:val="006408F9"/>
    <w:rsid w:val="00650072"/>
    <w:rsid w:val="00650DFB"/>
    <w:rsid w:val="00653B0D"/>
    <w:rsid w:val="006635DF"/>
    <w:rsid w:val="00664815"/>
    <w:rsid w:val="00676F66"/>
    <w:rsid w:val="006823AB"/>
    <w:rsid w:val="006854A9"/>
    <w:rsid w:val="00693B4E"/>
    <w:rsid w:val="0069737F"/>
    <w:rsid w:val="006A1AC3"/>
    <w:rsid w:val="006A3A54"/>
    <w:rsid w:val="006B2B29"/>
    <w:rsid w:val="006B3F0B"/>
    <w:rsid w:val="006C1A2D"/>
    <w:rsid w:val="006C2928"/>
    <w:rsid w:val="006C3209"/>
    <w:rsid w:val="006D1688"/>
    <w:rsid w:val="006D1CC4"/>
    <w:rsid w:val="006D50D6"/>
    <w:rsid w:val="006D774A"/>
    <w:rsid w:val="006E0934"/>
    <w:rsid w:val="006E48D6"/>
    <w:rsid w:val="007127E1"/>
    <w:rsid w:val="00737463"/>
    <w:rsid w:val="0074094A"/>
    <w:rsid w:val="00752444"/>
    <w:rsid w:val="0075670D"/>
    <w:rsid w:val="00761D18"/>
    <w:rsid w:val="007656D3"/>
    <w:rsid w:val="00773048"/>
    <w:rsid w:val="007863C5"/>
    <w:rsid w:val="00786A10"/>
    <w:rsid w:val="007871A4"/>
    <w:rsid w:val="00792756"/>
    <w:rsid w:val="007A1D4C"/>
    <w:rsid w:val="007A4C7D"/>
    <w:rsid w:val="007A748E"/>
    <w:rsid w:val="007C0300"/>
    <w:rsid w:val="007C0E55"/>
    <w:rsid w:val="007C5560"/>
    <w:rsid w:val="007C7D08"/>
    <w:rsid w:val="007D3134"/>
    <w:rsid w:val="007E0874"/>
    <w:rsid w:val="007E7BC4"/>
    <w:rsid w:val="007F2B85"/>
    <w:rsid w:val="007F5C12"/>
    <w:rsid w:val="007F6408"/>
    <w:rsid w:val="00804CB5"/>
    <w:rsid w:val="00807936"/>
    <w:rsid w:val="00810B99"/>
    <w:rsid w:val="0082110C"/>
    <w:rsid w:val="00826896"/>
    <w:rsid w:val="00827E27"/>
    <w:rsid w:val="00831109"/>
    <w:rsid w:val="00841A5A"/>
    <w:rsid w:val="00843FFC"/>
    <w:rsid w:val="00847BAF"/>
    <w:rsid w:val="0086071C"/>
    <w:rsid w:val="00863528"/>
    <w:rsid w:val="008641BF"/>
    <w:rsid w:val="00871B8C"/>
    <w:rsid w:val="00871EEB"/>
    <w:rsid w:val="00895014"/>
    <w:rsid w:val="00896320"/>
    <w:rsid w:val="008A1390"/>
    <w:rsid w:val="008A2470"/>
    <w:rsid w:val="008A4710"/>
    <w:rsid w:val="008B20EE"/>
    <w:rsid w:val="008B5B3F"/>
    <w:rsid w:val="008B5CAA"/>
    <w:rsid w:val="008C0AB2"/>
    <w:rsid w:val="008D116E"/>
    <w:rsid w:val="008D3FB0"/>
    <w:rsid w:val="008D5EE7"/>
    <w:rsid w:val="008D7659"/>
    <w:rsid w:val="008E1BEF"/>
    <w:rsid w:val="008F64CA"/>
    <w:rsid w:val="009009E5"/>
    <w:rsid w:val="00905CFB"/>
    <w:rsid w:val="009129F7"/>
    <w:rsid w:val="00913258"/>
    <w:rsid w:val="00913AD5"/>
    <w:rsid w:val="00914DA4"/>
    <w:rsid w:val="0091567F"/>
    <w:rsid w:val="0091666E"/>
    <w:rsid w:val="00920030"/>
    <w:rsid w:val="00924CAA"/>
    <w:rsid w:val="00930915"/>
    <w:rsid w:val="00930EE4"/>
    <w:rsid w:val="00933D72"/>
    <w:rsid w:val="00933FC9"/>
    <w:rsid w:val="00942214"/>
    <w:rsid w:val="0094429F"/>
    <w:rsid w:val="00946939"/>
    <w:rsid w:val="00955CF1"/>
    <w:rsid w:val="00957DF1"/>
    <w:rsid w:val="0097382B"/>
    <w:rsid w:val="009738B3"/>
    <w:rsid w:val="00981CB7"/>
    <w:rsid w:val="009A0919"/>
    <w:rsid w:val="009A1130"/>
    <w:rsid w:val="009A2BB3"/>
    <w:rsid w:val="009B0B09"/>
    <w:rsid w:val="009B5ED9"/>
    <w:rsid w:val="009C0295"/>
    <w:rsid w:val="009C37C7"/>
    <w:rsid w:val="009C74D4"/>
    <w:rsid w:val="009D3605"/>
    <w:rsid w:val="009E1EBC"/>
    <w:rsid w:val="009E380C"/>
    <w:rsid w:val="009F15B1"/>
    <w:rsid w:val="009F2576"/>
    <w:rsid w:val="009F29A9"/>
    <w:rsid w:val="009F523A"/>
    <w:rsid w:val="009F6E28"/>
    <w:rsid w:val="00A019AB"/>
    <w:rsid w:val="00A10AD1"/>
    <w:rsid w:val="00A36CD6"/>
    <w:rsid w:val="00A3735A"/>
    <w:rsid w:val="00A377DD"/>
    <w:rsid w:val="00A40685"/>
    <w:rsid w:val="00A41437"/>
    <w:rsid w:val="00A443E2"/>
    <w:rsid w:val="00A458AB"/>
    <w:rsid w:val="00A45AF3"/>
    <w:rsid w:val="00A5096A"/>
    <w:rsid w:val="00A531D9"/>
    <w:rsid w:val="00A534E4"/>
    <w:rsid w:val="00A5395E"/>
    <w:rsid w:val="00A54C0E"/>
    <w:rsid w:val="00A57673"/>
    <w:rsid w:val="00A65EAF"/>
    <w:rsid w:val="00A66430"/>
    <w:rsid w:val="00A7001B"/>
    <w:rsid w:val="00A72DBD"/>
    <w:rsid w:val="00A72FAA"/>
    <w:rsid w:val="00A75202"/>
    <w:rsid w:val="00A9335C"/>
    <w:rsid w:val="00A967CC"/>
    <w:rsid w:val="00A97361"/>
    <w:rsid w:val="00AA6225"/>
    <w:rsid w:val="00AB244D"/>
    <w:rsid w:val="00AB411F"/>
    <w:rsid w:val="00AB6145"/>
    <w:rsid w:val="00AC643E"/>
    <w:rsid w:val="00AD06B7"/>
    <w:rsid w:val="00AD2F6C"/>
    <w:rsid w:val="00AF3227"/>
    <w:rsid w:val="00B23E5D"/>
    <w:rsid w:val="00B356BF"/>
    <w:rsid w:val="00B420EC"/>
    <w:rsid w:val="00B45D42"/>
    <w:rsid w:val="00B637EA"/>
    <w:rsid w:val="00B73E6A"/>
    <w:rsid w:val="00B74F2C"/>
    <w:rsid w:val="00B75C4A"/>
    <w:rsid w:val="00B85DB5"/>
    <w:rsid w:val="00B96150"/>
    <w:rsid w:val="00B96D10"/>
    <w:rsid w:val="00BA6190"/>
    <w:rsid w:val="00BB22CB"/>
    <w:rsid w:val="00BB3A77"/>
    <w:rsid w:val="00BC0EF9"/>
    <w:rsid w:val="00BC1564"/>
    <w:rsid w:val="00BC649A"/>
    <w:rsid w:val="00BD14C6"/>
    <w:rsid w:val="00C203E6"/>
    <w:rsid w:val="00C24A0B"/>
    <w:rsid w:val="00C308F3"/>
    <w:rsid w:val="00C33678"/>
    <w:rsid w:val="00C43944"/>
    <w:rsid w:val="00C4627A"/>
    <w:rsid w:val="00C52AF2"/>
    <w:rsid w:val="00C54426"/>
    <w:rsid w:val="00C63EDE"/>
    <w:rsid w:val="00C64033"/>
    <w:rsid w:val="00C75FFE"/>
    <w:rsid w:val="00C819E0"/>
    <w:rsid w:val="00C82EC5"/>
    <w:rsid w:val="00C839AC"/>
    <w:rsid w:val="00C867F0"/>
    <w:rsid w:val="00C92091"/>
    <w:rsid w:val="00C95162"/>
    <w:rsid w:val="00C96423"/>
    <w:rsid w:val="00CA6F3C"/>
    <w:rsid w:val="00CB31B2"/>
    <w:rsid w:val="00CB7299"/>
    <w:rsid w:val="00CE58A2"/>
    <w:rsid w:val="00CF0561"/>
    <w:rsid w:val="00CF0925"/>
    <w:rsid w:val="00CF79C3"/>
    <w:rsid w:val="00D0025C"/>
    <w:rsid w:val="00D00E1C"/>
    <w:rsid w:val="00D0195B"/>
    <w:rsid w:val="00D12E0F"/>
    <w:rsid w:val="00D21CF7"/>
    <w:rsid w:val="00D34011"/>
    <w:rsid w:val="00D44844"/>
    <w:rsid w:val="00D46A5B"/>
    <w:rsid w:val="00D47B89"/>
    <w:rsid w:val="00D558D9"/>
    <w:rsid w:val="00D57802"/>
    <w:rsid w:val="00D6027D"/>
    <w:rsid w:val="00D71762"/>
    <w:rsid w:val="00D7387D"/>
    <w:rsid w:val="00D8304F"/>
    <w:rsid w:val="00D90AFD"/>
    <w:rsid w:val="00D92BF8"/>
    <w:rsid w:val="00DA1FAD"/>
    <w:rsid w:val="00DA5E21"/>
    <w:rsid w:val="00DC25E0"/>
    <w:rsid w:val="00DC4196"/>
    <w:rsid w:val="00DF0755"/>
    <w:rsid w:val="00E05DA4"/>
    <w:rsid w:val="00E101B8"/>
    <w:rsid w:val="00E136A8"/>
    <w:rsid w:val="00E137C0"/>
    <w:rsid w:val="00E13EAE"/>
    <w:rsid w:val="00E1582E"/>
    <w:rsid w:val="00E17C94"/>
    <w:rsid w:val="00E250A8"/>
    <w:rsid w:val="00E26E91"/>
    <w:rsid w:val="00E35A1C"/>
    <w:rsid w:val="00E377CF"/>
    <w:rsid w:val="00E46E40"/>
    <w:rsid w:val="00E477E3"/>
    <w:rsid w:val="00E479A5"/>
    <w:rsid w:val="00E6086E"/>
    <w:rsid w:val="00E62F20"/>
    <w:rsid w:val="00E65CDE"/>
    <w:rsid w:val="00E679EB"/>
    <w:rsid w:val="00E76D48"/>
    <w:rsid w:val="00E826D0"/>
    <w:rsid w:val="00E82A60"/>
    <w:rsid w:val="00E836B7"/>
    <w:rsid w:val="00E86EC1"/>
    <w:rsid w:val="00EA1CA3"/>
    <w:rsid w:val="00EA2927"/>
    <w:rsid w:val="00EA3C9B"/>
    <w:rsid w:val="00EA7725"/>
    <w:rsid w:val="00EB6EEE"/>
    <w:rsid w:val="00EC1807"/>
    <w:rsid w:val="00ED2335"/>
    <w:rsid w:val="00ED31AB"/>
    <w:rsid w:val="00ED5C27"/>
    <w:rsid w:val="00ED72F7"/>
    <w:rsid w:val="00EF1272"/>
    <w:rsid w:val="00F17071"/>
    <w:rsid w:val="00F40715"/>
    <w:rsid w:val="00F44583"/>
    <w:rsid w:val="00F5371A"/>
    <w:rsid w:val="00F75A67"/>
    <w:rsid w:val="00F839CE"/>
    <w:rsid w:val="00F91AC7"/>
    <w:rsid w:val="00F92EE4"/>
    <w:rsid w:val="00FA6CF0"/>
    <w:rsid w:val="00FA7449"/>
    <w:rsid w:val="00FC1E7F"/>
    <w:rsid w:val="00FC304E"/>
    <w:rsid w:val="00FC46FF"/>
    <w:rsid w:val="00FC68E1"/>
    <w:rsid w:val="00FC79B0"/>
    <w:rsid w:val="00FC7DF8"/>
    <w:rsid w:val="00FD0C5C"/>
    <w:rsid w:val="00FD0FD7"/>
    <w:rsid w:val="00FD4706"/>
    <w:rsid w:val="00FE6670"/>
    <w:rsid w:val="00FF0727"/>
    <w:rsid w:val="00FF3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BF32DD"/>
  <w15:chartTrackingRefBased/>
  <w15:docId w15:val="{C0475878-6B13-43CD-B649-C4694AD1D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link w:val="ListParagraph"/>
    <w:uiPriority w:val="34"/>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22"/>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2"/>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paragraph" w:customStyle="1" w:styleId="references">
    <w:name w:val="references"/>
    <w:uiPriority w:val="99"/>
    <w:rsid w:val="002155BE"/>
    <w:pPr>
      <w:numPr>
        <w:numId w:val="35"/>
      </w:numPr>
      <w:spacing w:after="50" w:line="180" w:lineRule="exact"/>
      <w:jc w:val="both"/>
    </w:pPr>
    <w:rPr>
      <w:noProof/>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34464157">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69046020">
      <w:bodyDiv w:val="1"/>
      <w:marLeft w:val="0"/>
      <w:marRight w:val="0"/>
      <w:marTop w:val="0"/>
      <w:marBottom w:val="0"/>
      <w:divBdr>
        <w:top w:val="none" w:sz="0" w:space="0" w:color="auto"/>
        <w:left w:val="none" w:sz="0" w:space="0" w:color="auto"/>
        <w:bottom w:val="none" w:sz="0" w:space="0" w:color="auto"/>
        <w:right w:val="none" w:sz="0" w:space="0" w:color="auto"/>
      </w:divBdr>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CE499-8949-476C-BB64-0C49D8D74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898</TotalTime>
  <Pages>1</Pages>
  <Words>928</Words>
  <Characters>4919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Johan Bergman 2</cp:lastModifiedBy>
  <cp:revision>85</cp:revision>
  <cp:lastPrinted>1899-12-31T23:00:00Z</cp:lastPrinted>
  <dcterms:created xsi:type="dcterms:W3CDTF">2017-02-01T08:45:00Z</dcterms:created>
  <dcterms:modified xsi:type="dcterms:W3CDTF">2017-03-24T18:10:00Z</dcterms:modified>
</cp:coreProperties>
</file>